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3"/>
        <w:spacing w:before="156" w:beforeLines="50" w:line="360" w:lineRule="auto"/>
        <w:jc w:val="both"/>
        <w:rPr>
          <w:rFonts w:hint="default" w:ascii="黑体" w:hAnsi="黑体" w:eastAsia="黑体" w:cs="黑体"/>
          <w:lang w:val="en-US" w:eastAsia="zh-CN"/>
        </w:rPr>
      </w:pPr>
      <w:r>
        <w:rPr>
          <w:rFonts w:hint="eastAsia" w:ascii="黑体" w:hAnsi="黑体" w:eastAsia="黑体" w:cs="黑体"/>
        </w:rPr>
        <w:t>ICS 65.020</w:t>
      </w:r>
      <w:r>
        <w:rPr>
          <w:rFonts w:hint="eastAsia" w:hAnsi="黑体" w:cs="黑体"/>
          <w:lang w:val="en-US" w:eastAsia="zh-CN"/>
        </w:rPr>
        <w:t>.20</w:t>
      </w:r>
    </w:p>
    <w:p>
      <w:pPr>
        <w:pStyle w:val="133"/>
        <w:spacing w:before="156" w:beforeLines="50" w:line="360" w:lineRule="auto"/>
        <w:jc w:val="both"/>
        <w:rPr>
          <w:rFonts w:hint="default" w:ascii="黑体" w:hAnsi="黑体" w:eastAsia="黑体" w:cs="黑体"/>
          <w:lang w:val="en-US" w:eastAsia="zh-CN"/>
        </w:rPr>
      </w:pPr>
      <w:r>
        <w:rPr>
          <w:rFonts w:hint="eastAsia" w:ascii="黑体" w:hAnsi="黑体" w:eastAsia="黑体" w:cs="黑体"/>
        </w:rPr>
        <w:t xml:space="preserve">CCS B </w:t>
      </w:r>
      <w:r>
        <w:rPr>
          <w:rFonts w:hint="eastAsia" w:hAnsi="黑体" w:cs="黑体"/>
          <w:lang w:val="en-US" w:eastAsia="zh-CN"/>
        </w:rPr>
        <w:t>33</w:t>
      </w:r>
    </w:p>
    <w:tbl>
      <w:tblPr>
        <w:tblStyle w:val="3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noWrap w:val="0"/>
            <w:vAlign w:val="top"/>
          </w:tcPr>
          <w:p>
            <w:pPr>
              <w:pStyle w:val="133"/>
              <w:spacing w:before="156" w:beforeLines="50" w:line="360" w:lineRule="auto"/>
              <w:jc w:val="both"/>
              <w:rPr>
                <w:rFonts w:ascii="Times New Roman"/>
              </w:rPr>
            </w:pPr>
            <w:r>
              <w:rPr>
                <w:rFonts w:ascii="Times New Roman"/>
              </w:rPr>
              <mc:AlternateContent>
                <mc:Choice Requires="wps">
                  <w:drawing>
                    <wp:anchor distT="0" distB="0" distL="114300" distR="114300" simplePos="0" relativeHeight="251661312" behindDoc="1" locked="0" layoutInCell="1" allowOverlap="1">
                      <wp:simplePos x="0" y="0"/>
                      <wp:positionH relativeFrom="column">
                        <wp:posOffset>-66675</wp:posOffset>
                      </wp:positionH>
                      <wp:positionV relativeFrom="paragraph">
                        <wp:posOffset>0</wp:posOffset>
                      </wp:positionV>
                      <wp:extent cx="866775" cy="198120"/>
                      <wp:effectExtent l="0" t="0" r="9525" b="11430"/>
                      <wp:wrapNone/>
                      <wp:docPr id="3"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bodyPr wrap="square" upright="1"/>
                          </wps:wsp>
                        </a:graphicData>
                      </a:graphic>
                    </wp:anchor>
                  </w:drawing>
                </mc:Choice>
                <mc:Fallback>
                  <w:pict>
                    <v:rect id="BAH" o:spid="_x0000_s1026" o:spt="1" style="position:absolute;left:0pt;margin-left:-5.25pt;margin-top:0pt;height:15.6pt;width:68.25pt;z-index:-251655168;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yK4v7NUA&#10;AAAHAQAADwAAAAAAAAABACAAAAAiAAAAZHJzL2Rvd25yZXYueG1sUEsBAhQAFAAAAAgAh07iQCzJ&#10;mbewAQAAZwMAAA4AAAAAAAAAAQAgAAAAJAEAAGRycy9lMm9Eb2MueG1sUEsFBgAAAAAGAAYAWQEA&#10;AEYFAAAAAA==&#10;">
                      <v:fill on="t" focussize="0,0"/>
                      <v:stroke on="f"/>
                      <v:imagedata o:title=""/>
                      <o:lock v:ext="edit" aspectratio="f"/>
                    </v:rect>
                  </w:pict>
                </mc:Fallback>
              </mc:AlternateContent>
            </w:r>
            <w:r>
              <w:rPr>
                <w:rFonts w:ascii="Times New Roman"/>
              </w:rPr>
              <w:fldChar w:fldCharType="begin">
                <w:ffData>
                  <w:name w:val="BAH"/>
                  <w:enabled/>
                  <w:calcOnExit w:val="0"/>
                  <w:textInput/>
                </w:ffData>
              </w:fldChar>
            </w:r>
            <w:bookmarkStart w:id="0" w:name="BAH"/>
            <w:r>
              <w:rPr>
                <w:rFonts w:ascii="Times New Roman"/>
              </w:rPr>
              <w:instrText xml:space="preserve"> FORMTEXT </w:instrText>
            </w:r>
            <w:r>
              <w:rPr>
                <w:rFonts w:ascii="Times New Roman"/>
              </w:rPr>
              <w:fldChar w:fldCharType="separate"/>
            </w:r>
            <w:r>
              <w:rPr>
                <w:rFonts w:ascii="Times New Roman"/>
              </w:rPr>
              <w:t>     </w:t>
            </w:r>
            <w:r>
              <w:rPr>
                <w:rFonts w:ascii="Times New Roman"/>
              </w:rPr>
              <w:fldChar w:fldCharType="end"/>
            </w:r>
            <w:bookmarkEnd w:id="0"/>
          </w:p>
        </w:tc>
      </w:tr>
    </w:tbl>
    <w:p>
      <w:pPr>
        <w:pStyle w:val="76"/>
        <w:framePr w:w="4102" w:wrap="around" w:vAnchor="margin" w:hAnchor="page" w:x="6380"/>
        <w:spacing w:before="156" w:beforeLines="50" w:line="360" w:lineRule="auto"/>
        <w:jc w:val="both"/>
      </w:pPr>
      <w:bookmarkStart w:id="1" w:name="c1"/>
      <w:r>
        <w:rPr>
          <w:b/>
          <w:w w:val="170"/>
          <w:sz w:val="96"/>
          <w:szCs w:val="96"/>
          <w:lang w:bidi="ar-SA"/>
        </w:rPr>
        <w:fldChar w:fldCharType="begin">
          <w:ffData>
            <w:name w:val="c1"/>
            <w:enabled/>
            <w:calcOnExit w:val="0"/>
            <w:textInput>
              <w:default w:val="DB32"/>
              <w:maxLength w:val="4"/>
            </w:textInput>
          </w:ffData>
        </w:fldChar>
      </w:r>
      <w:r>
        <w:rPr>
          <w:b/>
          <w:w w:val="170"/>
          <w:sz w:val="96"/>
          <w:szCs w:val="96"/>
          <w:lang w:bidi="ar-SA"/>
        </w:rPr>
        <w:instrText xml:space="preserve">FORMTEXT</w:instrText>
      </w:r>
      <w:r>
        <w:rPr>
          <w:b/>
          <w:w w:val="170"/>
          <w:sz w:val="96"/>
          <w:szCs w:val="96"/>
          <w:lang w:bidi="ar-SA"/>
        </w:rPr>
        <w:fldChar w:fldCharType="separate"/>
      </w:r>
      <w:r>
        <w:rPr>
          <w:b/>
          <w:w w:val="170"/>
          <w:sz w:val="96"/>
          <w:szCs w:val="96"/>
          <w:lang w:bidi="ar-SA"/>
        </w:rPr>
        <w:t>DB32</w:t>
      </w:r>
      <w:r>
        <w:rPr>
          <w:b/>
          <w:w w:val="170"/>
          <w:sz w:val="96"/>
          <w:szCs w:val="96"/>
          <w:lang w:bidi="ar-SA"/>
        </w:rPr>
        <w:fldChar w:fldCharType="end"/>
      </w:r>
      <w:bookmarkEnd w:id="1"/>
    </w:p>
    <w:p>
      <w:pPr>
        <w:pStyle w:val="120"/>
        <w:spacing w:before="156" w:beforeLines="50" w:line="360" w:lineRule="auto"/>
        <w:rPr>
          <w:rFonts w:ascii="Times New Roman" w:hAnsi="Times New Roman"/>
        </w:rPr>
      </w:pPr>
      <w:r>
        <w:rPr>
          <w:rFonts w:hint="eastAsia" w:ascii="Times New Roman" w:hAnsi="Times New Roman"/>
          <w:lang w:val="en-US" w:eastAsia="zh-CN"/>
        </w:rPr>
        <w:t>江苏省地方</w:t>
      </w:r>
      <w:r>
        <w:rPr>
          <w:rFonts w:ascii="Times New Roman" w:hAnsi="Times New Roman"/>
        </w:rPr>
        <w:t>标准</w:t>
      </w:r>
    </w:p>
    <w:p>
      <w:pPr>
        <w:pStyle w:val="57"/>
        <w:spacing w:before="156" w:beforeLines="50" w:line="360" w:lineRule="auto"/>
        <w:rPr>
          <w:rFonts w:ascii="Times New Roman"/>
        </w:rPr>
      </w:pPr>
      <w:bookmarkStart w:id="2" w:name="StdNo0"/>
      <w:r>
        <w:rPr>
          <w:rFonts w:hint="eastAsia" w:ascii="黑体" w:hAnsi="黑体" w:eastAsia="黑体" w:cs="黑体"/>
          <w:sz w:val="28"/>
          <w:szCs w:val="28"/>
          <w:lang w:val="en-US" w:eastAsia="zh-CN" w:bidi="ar-SA"/>
        </w:rPr>
        <w:fldChar w:fldCharType="begin">
          <w:ffData>
            <w:name w:val="StdNo0"/>
            <w:enabled/>
            <w:calcOnExit w:val="0"/>
            <w:textInput>
              <w:default w:val="DB32"/>
              <w:maxLength w:val="4"/>
            </w:textInput>
          </w:ffData>
        </w:fldChar>
      </w:r>
      <w:r>
        <w:rPr>
          <w:rFonts w:hint="eastAsia" w:ascii="黑体" w:hAnsi="黑体" w:eastAsia="黑体" w:cs="黑体"/>
          <w:sz w:val="28"/>
          <w:szCs w:val="28"/>
          <w:lang w:val="en-US" w:eastAsia="zh-CN" w:bidi="ar-SA"/>
        </w:rPr>
        <w:instrText xml:space="preserve">FORMTEXT</w:instrText>
      </w:r>
      <w:r>
        <w:rPr>
          <w:rFonts w:hint="eastAsia" w:ascii="黑体" w:hAnsi="黑体" w:eastAsia="黑体" w:cs="黑体"/>
          <w:sz w:val="28"/>
          <w:szCs w:val="28"/>
          <w:lang w:val="en-US" w:eastAsia="zh-CN" w:bidi="ar-SA"/>
        </w:rPr>
        <w:fldChar w:fldCharType="separate"/>
      </w:r>
      <w:r>
        <w:rPr>
          <w:rFonts w:hint="eastAsia" w:ascii="黑体" w:hAnsi="黑体" w:eastAsia="黑体" w:cs="黑体"/>
          <w:sz w:val="28"/>
          <w:szCs w:val="28"/>
          <w:lang w:val="en-US" w:eastAsia="zh-CN" w:bidi="ar-SA"/>
        </w:rPr>
        <w:t>DB32</w:t>
      </w:r>
      <w:r>
        <w:rPr>
          <w:rFonts w:hint="eastAsia" w:ascii="黑体" w:hAnsi="黑体" w:eastAsia="黑体" w:cs="黑体"/>
          <w:sz w:val="28"/>
          <w:szCs w:val="28"/>
          <w:lang w:val="en-US" w:eastAsia="zh-CN" w:bidi="ar-SA"/>
        </w:rPr>
        <w:fldChar w:fldCharType="end"/>
      </w:r>
      <w:bookmarkEnd w:id="2"/>
      <w:r>
        <w:rPr>
          <w:rFonts w:hint="eastAsia" w:ascii="黑体" w:hAnsi="黑体" w:eastAsia="黑体" w:cs="黑体"/>
        </w:rPr>
        <w:t xml:space="preserve">/T </w:t>
      </w:r>
      <w:r>
        <w:rPr>
          <w:rFonts w:hint="eastAsia" w:ascii="黑体" w:hAnsi="黑体" w:eastAsia="黑体" w:cs="黑体"/>
        </w:rPr>
        <w:fldChar w:fldCharType="begin">
          <w:ffData>
            <w:name w:val="StdNo1"/>
            <w:enabled/>
            <w:calcOnExit w:val="0"/>
            <w:textInput>
              <w:default w:val="XXXXX"/>
            </w:textInput>
          </w:ffData>
        </w:fldChar>
      </w:r>
      <w:bookmarkStart w:id="3" w:name="StdNo1"/>
      <w:r>
        <w:rPr>
          <w:rFonts w:hint="eastAsia" w:ascii="黑体" w:hAnsi="黑体" w:eastAsia="黑体" w:cs="黑体"/>
        </w:rPr>
        <w:instrText xml:space="preserve"> FORMTEXT </w:instrText>
      </w:r>
      <w:r>
        <w:rPr>
          <w:rFonts w:hint="eastAsia" w:ascii="黑体" w:hAnsi="黑体" w:eastAsia="黑体" w:cs="黑体"/>
        </w:rPr>
        <w:fldChar w:fldCharType="separate"/>
      </w:r>
      <w:r>
        <w:rPr>
          <w:rFonts w:hint="eastAsia" w:ascii="黑体" w:hAnsi="黑体" w:eastAsia="黑体" w:cs="黑体"/>
        </w:rPr>
        <w:t>XXXX</w:t>
      </w:r>
      <w:r>
        <w:rPr>
          <w:rFonts w:hint="eastAsia" w:ascii="黑体" w:hAnsi="黑体" w:eastAsia="黑体" w:cs="黑体"/>
        </w:rPr>
        <w:fldChar w:fldCharType="end"/>
      </w:r>
      <w:bookmarkEnd w:id="3"/>
      <w:r>
        <w:rPr>
          <w:rFonts w:hint="eastAsia" w:ascii="黑体" w:hAnsi="黑体" w:eastAsia="黑体" w:cs="黑体"/>
        </w:rPr>
        <w:t>—</w:t>
      </w:r>
      <w:r>
        <w:rPr>
          <w:rFonts w:hint="eastAsia" w:ascii="黑体" w:hAnsi="黑体" w:eastAsia="黑体" w:cs="黑体"/>
        </w:rPr>
        <w:fldChar w:fldCharType="begin">
          <w:ffData>
            <w:name w:val="StdNo2"/>
            <w:enabled/>
            <w:calcOnExit w:val="0"/>
            <w:textInput>
              <w:default w:val="XXXX"/>
              <w:maxLength w:val="4"/>
            </w:textInput>
          </w:ffData>
        </w:fldChar>
      </w:r>
      <w:bookmarkStart w:id="4" w:name="StdNo2"/>
      <w:r>
        <w:rPr>
          <w:rFonts w:hint="eastAsia" w:ascii="黑体" w:hAnsi="黑体" w:eastAsia="黑体" w:cs="黑体"/>
        </w:rPr>
        <w:instrText xml:space="preserve"> FORMTEXT </w:instrText>
      </w:r>
      <w:r>
        <w:rPr>
          <w:rFonts w:hint="eastAsia" w:ascii="黑体" w:hAnsi="黑体" w:eastAsia="黑体" w:cs="黑体"/>
        </w:rPr>
        <w:fldChar w:fldCharType="separate"/>
      </w:r>
      <w:r>
        <w:rPr>
          <w:rFonts w:hint="eastAsia" w:ascii="黑体" w:hAnsi="黑体" w:eastAsia="黑体" w:cs="黑体"/>
        </w:rPr>
        <w:t>XXXX</w:t>
      </w:r>
      <w:r>
        <w:rPr>
          <w:rFonts w:hint="eastAsia" w:ascii="黑体" w:hAnsi="黑体" w:eastAsia="黑体" w:cs="黑体"/>
        </w:rPr>
        <w:fldChar w:fldCharType="end"/>
      </w:r>
      <w:bookmarkEnd w:id="4"/>
    </w:p>
    <w:tbl>
      <w:tblPr>
        <w:tblStyle w:val="3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noWrap w:val="0"/>
            <w:vAlign w:val="top"/>
          </w:tcPr>
          <w:p>
            <w:pPr>
              <w:pStyle w:val="86"/>
              <w:spacing w:before="156" w:beforeLines="50" w:line="360" w:lineRule="auto"/>
              <w:rPr>
                <w:rFonts w:ascii="Times New Roman"/>
              </w:rPr>
            </w:pPr>
            <w:r>
              <w:rPr>
                <w:rFonts w:ascii="Times New Roman"/>
              </w:rPr>
              <mc:AlternateContent>
                <mc:Choice Requires="wps">
                  <w:drawing>
                    <wp:anchor distT="0" distB="0" distL="114300" distR="114300" simplePos="0" relativeHeight="251659264"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1"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bodyPr wrap="square" upright="1"/>
                          </wps:wsp>
                        </a:graphicData>
                      </a:graphic>
                    </wp:anchor>
                  </w:drawing>
                </mc:Choice>
                <mc:Fallback>
                  <w:pict>
                    <v:rect id="DT" o:spid="_x0000_s1026" o:spt="1" style="position:absolute;left:0pt;margin-left:372.8pt;margin-top:2.7pt;height:18pt;width:90pt;z-index:-251657216;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B5g8svWAAAACAEA&#10;AA8AAAAAAAAAAQAgAAAAIgAAAGRycy9kb3ducmV2LnhtbFBLAQIUABQAAAAIAIdO4kD2n1EKqgEA&#10;AGcDAAAOAAAAAAAAAAEAIAAAACUBAABkcnMvZTJvRG9jLnhtbFBLBQYAAAAABgAGAFkBAABBBQAA&#10;AAA=&#10;">
                      <v:fill on="t" focussize="0,0"/>
                      <v:stroke on="f"/>
                      <v:imagedata o:title=""/>
                      <o:lock v:ext="edit" aspectratio="f"/>
                    </v:rect>
                  </w:pict>
                </mc:Fallback>
              </mc:AlternateContent>
            </w:r>
            <w:r>
              <w:rPr>
                <w:rFonts w:ascii="Times New Roman"/>
              </w:rPr>
              <w:fldChar w:fldCharType="begin">
                <w:ffData>
                  <w:name w:val="DT"/>
                  <w:enabled/>
                  <w:calcOnExit w:val="0"/>
                  <w:entryMacro w:val="ShowHelp4"/>
                  <w:textInput/>
                </w:ffData>
              </w:fldChar>
            </w:r>
            <w:bookmarkStart w:id="5" w:name="DT"/>
            <w:r>
              <w:rPr>
                <w:rFonts w:ascii="Times New Roman"/>
              </w:rPr>
              <w:instrText xml:space="preserve"> FORMTEXT </w:instrText>
            </w:r>
            <w:r>
              <w:rPr>
                <w:rFonts w:ascii="Times New Roman"/>
              </w:rPr>
              <w:fldChar w:fldCharType="separate"/>
            </w:r>
            <w:r>
              <w:rPr>
                <w:rFonts w:ascii="Times New Roman"/>
              </w:rPr>
              <w:t>     </w:t>
            </w:r>
            <w:r>
              <w:rPr>
                <w:rFonts w:ascii="Times New Roman"/>
              </w:rPr>
              <w:fldChar w:fldCharType="end"/>
            </w:r>
            <w:bookmarkEnd w:id="5"/>
          </w:p>
        </w:tc>
      </w:tr>
    </w:tbl>
    <w:p>
      <w:pPr>
        <w:pStyle w:val="57"/>
        <w:spacing w:before="156" w:beforeLines="50" w:line="360" w:lineRule="auto"/>
        <w:rPr>
          <w:rFonts w:ascii="Times New Roman"/>
        </w:rPr>
      </w:pPr>
    </w:p>
    <w:p>
      <w:pPr>
        <w:pStyle w:val="57"/>
        <w:spacing w:before="156" w:beforeLines="50" w:line="360" w:lineRule="auto"/>
        <w:rPr>
          <w:rFonts w:ascii="Times New Roman"/>
        </w:rPr>
      </w:pPr>
    </w:p>
    <w:p>
      <w:pPr>
        <w:pStyle w:val="88"/>
        <w:spacing w:before="156" w:beforeLines="50" w:line="360" w:lineRule="auto"/>
        <w:outlineLvl w:val="0"/>
        <w:rPr>
          <w:rFonts w:ascii="Times New Roman"/>
        </w:rPr>
      </w:pPr>
      <w:bookmarkStart w:id="6" w:name="_Toc22135"/>
      <w:bookmarkStart w:id="7" w:name="StdName"/>
      <w:bookmarkStart w:id="8" w:name="_Toc28154"/>
      <w:r>
        <w:rPr>
          <w:rFonts w:ascii="Times New Roman" w:eastAsia="黑体"/>
          <w:sz w:val="52"/>
          <w:lang w:bidi="ar-SA"/>
        </w:rPr>
        <w:fldChar w:fldCharType="begin">
          <w:ffData>
            <w:name w:val="StdName"/>
            <w:enabled/>
            <w:calcOnExit w:val="0"/>
            <w:textInput>
              <w:default w:val="油菜生产全程质量控制技术规范"/>
            </w:textInput>
          </w:ffData>
        </w:fldChar>
      </w:r>
      <w:r>
        <w:rPr>
          <w:rFonts w:ascii="Times New Roman" w:eastAsia="黑体"/>
          <w:sz w:val="52"/>
          <w:lang w:bidi="ar-SA"/>
        </w:rPr>
        <w:instrText xml:space="preserve">FORMTEXT</w:instrText>
      </w:r>
      <w:r>
        <w:rPr>
          <w:rFonts w:ascii="Times New Roman" w:eastAsia="黑体"/>
          <w:sz w:val="52"/>
          <w:lang w:bidi="ar-SA"/>
        </w:rPr>
        <w:fldChar w:fldCharType="separate"/>
      </w:r>
      <w:r>
        <w:rPr>
          <w:rFonts w:ascii="Times New Roman" w:eastAsia="黑体"/>
          <w:sz w:val="52"/>
          <w:lang w:bidi="ar-SA"/>
        </w:rPr>
        <w:t>油菜生产全程质量控制技术规范</w:t>
      </w:r>
      <w:r>
        <w:rPr>
          <w:rFonts w:ascii="Times New Roman" w:eastAsia="黑体"/>
          <w:sz w:val="52"/>
          <w:lang w:bidi="ar-SA"/>
        </w:rPr>
        <w:fldChar w:fldCharType="end"/>
      </w:r>
      <w:bookmarkEnd w:id="6"/>
      <w:bookmarkEnd w:id="7"/>
      <w:bookmarkEnd w:id="8"/>
    </w:p>
    <w:p>
      <w:pPr>
        <w:pStyle w:val="89"/>
        <w:spacing w:before="156" w:beforeLines="50" w:line="360" w:lineRule="auto"/>
        <w:rPr>
          <w:rFonts w:hint="eastAsia"/>
        </w:rPr>
      </w:pPr>
      <w:bookmarkStart w:id="9" w:name="StdEnglishName"/>
      <w:r>
        <w:rPr>
          <w:rFonts w:hint="eastAsia" w:ascii="Times New Roman" w:eastAsia="黑体"/>
          <w:sz w:val="28"/>
          <w:szCs w:val="28"/>
          <w:highlight w:val="none"/>
          <w:lang w:bidi="ar-SA"/>
        </w:rPr>
        <w:fldChar w:fldCharType="begin">
          <w:ffData>
            <w:name w:val="StdEnglishName"/>
            <w:enabled/>
            <w:calcOnExit w:val="0"/>
            <w:textInput>
              <w:default w:val="Technical specification for quality control of rape during whole process of production"/>
            </w:textInput>
          </w:ffData>
        </w:fldChar>
      </w:r>
      <w:r>
        <w:rPr>
          <w:rFonts w:hint="eastAsia" w:ascii="Times New Roman" w:eastAsia="黑体"/>
          <w:sz w:val="28"/>
          <w:szCs w:val="28"/>
          <w:highlight w:val="none"/>
          <w:lang w:bidi="ar-SA"/>
        </w:rPr>
        <w:instrText xml:space="preserve">FORMTEXT</w:instrText>
      </w:r>
      <w:r>
        <w:rPr>
          <w:rFonts w:hint="eastAsia" w:ascii="Times New Roman" w:eastAsia="黑体"/>
          <w:sz w:val="28"/>
          <w:szCs w:val="28"/>
          <w:highlight w:val="none"/>
          <w:lang w:bidi="ar-SA"/>
        </w:rPr>
        <w:fldChar w:fldCharType="separate"/>
      </w:r>
      <w:r>
        <w:rPr>
          <w:rFonts w:hint="eastAsia" w:ascii="Times New Roman" w:eastAsia="黑体"/>
          <w:sz w:val="28"/>
          <w:szCs w:val="28"/>
          <w:highlight w:val="none"/>
          <w:lang w:bidi="ar-SA"/>
        </w:rPr>
        <w:t>Technical specification for quality control of rape during whole process of production</w:t>
      </w:r>
      <w:r>
        <w:rPr>
          <w:rFonts w:hint="eastAsia" w:ascii="Times New Roman" w:eastAsia="黑体"/>
          <w:sz w:val="28"/>
          <w:szCs w:val="28"/>
          <w:highlight w:val="none"/>
          <w:lang w:bidi="ar-SA"/>
        </w:rPr>
        <w:fldChar w:fldCharType="end"/>
      </w:r>
      <w:bookmarkEnd w:id="9"/>
    </w:p>
    <w:tbl>
      <w:tblPr>
        <w:tblStyle w:val="3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noWrap w:val="0"/>
            <w:vAlign w:val="top"/>
          </w:tcPr>
          <w:p>
            <w:pPr>
              <w:pStyle w:val="91"/>
              <w:spacing w:before="156" w:beforeLines="50" w:after="0" w:line="360" w:lineRule="auto"/>
              <w:rPr>
                <w:rFonts w:ascii="Times New Roman"/>
              </w:rPr>
            </w:pPr>
            <w:r>
              <w:rPr>
                <w:rFonts w:ascii="Times New Roman"/>
              </w:rPr>
              <mc:AlternateContent>
                <mc:Choice Requires="wps">
                  <w:drawing>
                    <wp:anchor distT="0" distB="0" distL="114300" distR="114300" simplePos="0" relativeHeight="251660288" behindDoc="1" locked="1" layoutInCell="1" allowOverlap="1">
                      <wp:simplePos x="0" y="0"/>
                      <wp:positionH relativeFrom="column">
                        <wp:posOffset>2200910</wp:posOffset>
                      </wp:positionH>
                      <wp:positionV relativeFrom="paragraph">
                        <wp:posOffset>573405</wp:posOffset>
                      </wp:positionV>
                      <wp:extent cx="1905000" cy="254000"/>
                      <wp:effectExtent l="0" t="0" r="0" b="12700"/>
                      <wp:wrapNone/>
                      <wp:docPr id="2"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a:noFill/>
                              </a:ln>
                            </wps:spPr>
                            <wps:bodyPr wrap="square" upright="1"/>
                          </wps:wsp>
                        </a:graphicData>
                      </a:graphic>
                    </wp:anchor>
                  </w:drawing>
                </mc:Choice>
                <mc:Fallback>
                  <w:pict>
                    <v:rect id="RQ" o:spid="_x0000_s1026" o:spt="1" style="position:absolute;left:0pt;margin-left:173.3pt;margin-top:45.15pt;height:20pt;width:150pt;z-index:-251656192;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BYmuktUAAAAKAQAA&#10;DwAAAAAAAAABACAAAAAiAAAAZHJzL2Rvd25yZXYueG1sUEsBAhQAFAAAAAgAh07iQNJHsoaqAQAA&#10;ZwMAAA4AAAAAAAAAAQAgAAAAJAEAAGRycy9lMm9Eb2MueG1sUEsFBgAAAAAGAAYAWQEAAEAFAAAA&#10;AA==&#10;">
                      <v:fill on="t" focussize="0,0"/>
                      <v:stroke on="f"/>
                      <v:imagedata o:title=""/>
                      <o:lock v:ext="edit" aspectratio="f"/>
                      <w10:anchorlock/>
                    </v:rect>
                  </w:pict>
                </mc:Fallback>
              </mc:AlternateContent>
            </w:r>
            <w:bookmarkStart w:id="10" w:name="LB"/>
            <w:r>
              <w:rPr>
                <w:rFonts w:ascii="Times New Roman"/>
              </w:rPr>
              <w:fldChar w:fldCharType="begin">
                <w:ffData>
                  <w:name w:val="LB"/>
                  <w:enabled/>
                  <w:calcOnExit w:val="0"/>
                  <w:ddList>
                    <w:listEntry w:val="（送审讨论稿）"/>
                    <w:listEntry w:val="（征求意见稿）"/>
                    <w:listEntry w:val="（送审稿）"/>
                    <w:listEntry w:val="（报批稿）"/>
                    <w:listEntry w:val="文稿版次选择"/>
                    <w:listEntry w:val="（工作组讨论稿）"/>
                  </w:ddList>
                </w:ffData>
              </w:fldChar>
            </w:r>
            <w:r>
              <w:rPr>
                <w:rFonts w:ascii="Times New Roman"/>
              </w:rPr>
              <w:instrText xml:space="preserve">FORMDROPDOWN</w:instrText>
            </w:r>
            <w:r>
              <w:rPr>
                <w:rFonts w:ascii="Times New Roman"/>
              </w:rPr>
              <w:fldChar w:fldCharType="separate"/>
            </w:r>
            <w:r>
              <w:rPr>
                <w:rFonts w:ascii="Times New Roman"/>
              </w:rPr>
              <w:fldChar w:fldCharType="end"/>
            </w:r>
            <w:bookmarkEnd w:id="10"/>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noWrap w:val="0"/>
            <w:vAlign w:val="top"/>
          </w:tcPr>
          <w:p>
            <w:pPr>
              <w:pStyle w:val="92"/>
              <w:spacing w:before="156" w:beforeLines="50" w:after="0" w:line="360" w:lineRule="auto"/>
              <w:ind w:right="840"/>
              <w:jc w:val="right"/>
              <w:rPr>
                <w:rFonts w:hint="eastAsia" w:ascii="Times New Roman"/>
              </w:rPr>
            </w:pPr>
          </w:p>
        </w:tc>
      </w:tr>
    </w:tbl>
    <w:p>
      <w:pPr>
        <w:pStyle w:val="140"/>
        <w:framePr w:h="721" w:hRule="exact" w:x="1516" w:y="13786"/>
        <w:spacing w:before="156" w:beforeLines="50" w:line="360" w:lineRule="auto"/>
      </w:pPr>
      <w:r>
        <w:fldChar w:fldCharType="begin">
          <w:ffData>
            <w:name w:val="FY"/>
            <w:enabled/>
            <w:calcOnExit w:val="0"/>
            <w:entryMacro w:val="ShowHelp8"/>
            <w:textInput>
              <w:default w:val="XXXX"/>
              <w:maxLength w:val="4"/>
            </w:textInput>
          </w:ffData>
        </w:fldChar>
      </w:r>
      <w:bookmarkStart w:id="11" w:name="FY"/>
      <w:r>
        <w:instrText xml:space="preserve"> FORMTEXT </w:instrText>
      </w:r>
      <w:r>
        <w:fldChar w:fldCharType="separate"/>
      </w:r>
      <w:r>
        <w:t>XXXX</w:t>
      </w:r>
      <w:r>
        <w:fldChar w:fldCharType="end"/>
      </w:r>
      <w:bookmarkEnd w:id="11"/>
      <w:r>
        <w:t xml:space="preserve"> - </w:t>
      </w:r>
      <w:r>
        <w:fldChar w:fldCharType="begin">
          <w:ffData>
            <w:name w:val="FM"/>
            <w:enabled/>
            <w:calcOnExit w:val="0"/>
            <w:entryMacro w:val="ShowHelp8"/>
            <w:textInput>
              <w:default w:val="XX"/>
              <w:maxLength w:val="2"/>
            </w:textInput>
          </w:ffData>
        </w:fldChar>
      </w:r>
      <w:r>
        <w:instrText xml:space="preserve"> FORMTEXT </w:instrText>
      </w:r>
      <w:r>
        <w:fldChar w:fldCharType="separate"/>
      </w:r>
      <w:r>
        <w:t>XX</w:t>
      </w:r>
      <w:r>
        <w:fldChar w:fldCharType="end"/>
      </w:r>
      <w:r>
        <w:t xml:space="preserve"> - </w:t>
      </w:r>
      <w:r>
        <w:fldChar w:fldCharType="begin">
          <w:ffData>
            <w:name w:val="FD"/>
            <w:enabled/>
            <w:calcOnExit w:val="0"/>
            <w:entryMacro w:val="ShowHelp8"/>
            <w:textInput>
              <w:default w:val="XX"/>
              <w:maxLength w:val="2"/>
            </w:textInput>
          </w:ffData>
        </w:fldChar>
      </w:r>
      <w:bookmarkStart w:id="12" w:name="FD"/>
      <w:r>
        <w:instrText xml:space="preserve"> FORMTEXT </w:instrText>
      </w:r>
      <w:r>
        <w:fldChar w:fldCharType="separate"/>
      </w:r>
      <w:r>
        <w:t>XX</w:t>
      </w:r>
      <w:r>
        <w:fldChar w:fldCharType="end"/>
      </w:r>
      <w:bookmarkEnd w:id="12"/>
      <w:r>
        <w:t>发布</w:t>
      </w:r>
      <w:r>
        <mc:AlternateContent>
          <mc:Choice Requires="wps">
            <w:drawing>
              <wp:anchor distT="0" distB="0" distL="114300" distR="114300" simplePos="0" relativeHeight="251662336" behindDoc="0" locked="1" layoutInCell="1" allowOverlap="1">
                <wp:simplePos x="0" y="0"/>
                <wp:positionH relativeFrom="column">
                  <wp:posOffset>-635</wp:posOffset>
                </wp:positionH>
                <wp:positionV relativeFrom="page">
                  <wp:posOffset>9251950</wp:posOffset>
                </wp:positionV>
                <wp:extent cx="6120130" cy="0"/>
                <wp:effectExtent l="0" t="4445" r="0" b="5080"/>
                <wp:wrapNone/>
                <wp:docPr id="4" name="直线 10"/>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0" o:spid="_x0000_s1026" o:spt="20" style="position:absolute;left:0pt;margin-left:-0.05pt;margin-top:728.5pt;height:0pt;width:481.9pt;mso-position-vertical-relative:page;z-index:251662336;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CWHazzWAAAA&#10;CwEAAA8AAAAAAAAAAQAgAAAAIgAAAGRycy9kb3ducmV2LnhtbFBLAQIUABQAAAAIAIdO4kAwH9jI&#10;5gEAANwDAAAOAAAAAAAAAAEAIAAAACUBAABkcnMvZTJvRG9jLnhtbFBLBQYAAAAABgAGAFkBAAB9&#10;BQAAAAA=&#10;">
                <v:fill on="f" focussize="0,0"/>
                <v:stroke color="#000000" joinstyle="round"/>
                <v:imagedata o:title=""/>
                <o:lock v:ext="edit" aspectratio="f"/>
                <w10:anchorlock/>
              </v:line>
            </w:pict>
          </mc:Fallback>
        </mc:AlternateContent>
      </w:r>
    </w:p>
    <w:p>
      <w:pPr>
        <w:pStyle w:val="141"/>
        <w:framePr w:h="721" w:hRule="exact" w:x="7096" w:y="13756"/>
        <w:spacing w:before="156" w:beforeLines="50" w:line="360" w:lineRule="auto"/>
      </w:pPr>
      <w:r>
        <w:fldChar w:fldCharType="begin">
          <w:ffData>
            <w:name w:val="SY"/>
            <w:enabled/>
            <w:calcOnExit w:val="0"/>
            <w:entryMacro w:val="ShowHelp9"/>
            <w:textInput>
              <w:default w:val="XXXX"/>
              <w:maxLength w:val="4"/>
            </w:textInput>
          </w:ffData>
        </w:fldChar>
      </w:r>
      <w:bookmarkStart w:id="13" w:name="SY"/>
      <w:r>
        <w:instrText xml:space="preserve"> FORMTEXT </w:instrText>
      </w:r>
      <w:r>
        <w:fldChar w:fldCharType="separate"/>
      </w:r>
      <w:r>
        <w:t>XXXX</w:t>
      </w:r>
      <w:r>
        <w:fldChar w:fldCharType="end"/>
      </w:r>
      <w:bookmarkEnd w:id="13"/>
      <w:r>
        <w:t xml:space="preserve"> - </w:t>
      </w:r>
      <w:r>
        <w:fldChar w:fldCharType="begin">
          <w:ffData>
            <w:name w:val="SM"/>
            <w:enabled/>
            <w:calcOnExit w:val="0"/>
            <w:entryMacro w:val="ShowHelp9"/>
            <w:textInput>
              <w:default w:val="XX"/>
              <w:maxLength w:val="2"/>
            </w:textInput>
          </w:ffData>
        </w:fldChar>
      </w:r>
      <w:bookmarkStart w:id="14" w:name="SM"/>
      <w:r>
        <w:instrText xml:space="preserve"> FORMTEXT </w:instrText>
      </w:r>
      <w:r>
        <w:fldChar w:fldCharType="separate"/>
      </w:r>
      <w:r>
        <w:t>XX</w:t>
      </w:r>
      <w:r>
        <w:fldChar w:fldCharType="end"/>
      </w:r>
      <w:bookmarkEnd w:id="14"/>
      <w:r>
        <w:t xml:space="preserve"> - </w:t>
      </w:r>
      <w:r>
        <w:fldChar w:fldCharType="begin">
          <w:ffData>
            <w:name w:val="SD"/>
            <w:enabled/>
            <w:calcOnExit w:val="0"/>
            <w:entryMacro w:val="ShowHelp9"/>
            <w:textInput>
              <w:default w:val="XX"/>
              <w:maxLength w:val="2"/>
            </w:textInput>
          </w:ffData>
        </w:fldChar>
      </w:r>
      <w:bookmarkStart w:id="15" w:name="SD"/>
      <w:r>
        <w:instrText xml:space="preserve"> FORMTEXT </w:instrText>
      </w:r>
      <w:r>
        <w:fldChar w:fldCharType="separate"/>
      </w:r>
      <w:r>
        <w:t>XX</w:t>
      </w:r>
      <w:r>
        <w:fldChar w:fldCharType="end"/>
      </w:r>
      <w:bookmarkEnd w:id="15"/>
      <w:r>
        <w:t>实施</w:t>
      </w:r>
    </w:p>
    <w:p>
      <w:pPr>
        <w:pStyle w:val="121"/>
        <w:framePr w:wrap="around" w:x="2099" w:y="15272"/>
        <w:spacing w:before="156" w:beforeLines="50" w:line="360" w:lineRule="auto"/>
        <w:outlineLvl w:val="0"/>
        <w:rPr>
          <w:rFonts w:ascii="Times New Roman"/>
        </w:rPr>
      </w:pPr>
      <w:bookmarkStart w:id="16" w:name="fm"/>
      <w:bookmarkStart w:id="17" w:name="_Toc11157"/>
      <w:bookmarkStart w:id="18" w:name="_Toc23785"/>
      <w:r>
        <w:rPr>
          <w:rFonts w:ascii="Times New Roman" w:eastAsia="黑体"/>
          <w:b w:val="0"/>
          <w:spacing w:val="20"/>
          <w:w w:val="135"/>
          <w:sz w:val="28"/>
          <w:lang w:bidi="ar-SA"/>
        </w:rPr>
        <w:fldChar w:fldCharType="begin">
          <w:ffData>
            <w:name w:val="fm"/>
            <w:enabled/>
            <w:calcOnExit w:val="0"/>
            <w:textInput>
              <w:default w:val="江苏省市场监督管理局"/>
            </w:textInput>
          </w:ffData>
        </w:fldChar>
      </w:r>
      <w:r>
        <w:rPr>
          <w:rFonts w:ascii="Times New Roman" w:eastAsia="黑体"/>
          <w:b w:val="0"/>
          <w:spacing w:val="20"/>
          <w:w w:val="135"/>
          <w:sz w:val="28"/>
          <w:lang w:bidi="ar-SA"/>
        </w:rPr>
        <w:instrText xml:space="preserve">FORMTEXT</w:instrText>
      </w:r>
      <w:r>
        <w:rPr>
          <w:rFonts w:ascii="Times New Roman" w:eastAsia="黑体"/>
          <w:b w:val="0"/>
          <w:spacing w:val="20"/>
          <w:w w:val="135"/>
          <w:sz w:val="28"/>
          <w:lang w:bidi="ar-SA"/>
        </w:rPr>
        <w:fldChar w:fldCharType="separate"/>
      </w:r>
      <w:r>
        <w:rPr>
          <w:rFonts w:ascii="Times New Roman" w:eastAsia="黑体"/>
          <w:b w:val="0"/>
          <w:spacing w:val="20"/>
          <w:w w:val="135"/>
          <w:sz w:val="28"/>
          <w:lang w:bidi="ar-SA"/>
        </w:rPr>
        <w:t>江苏省市场监督管理局</w:t>
      </w:r>
      <w:r>
        <w:rPr>
          <w:rFonts w:ascii="Times New Roman" w:eastAsia="黑体"/>
          <w:b w:val="0"/>
          <w:spacing w:val="20"/>
          <w:w w:val="135"/>
          <w:sz w:val="28"/>
          <w:lang w:bidi="ar-SA"/>
        </w:rPr>
        <w:fldChar w:fldCharType="end"/>
      </w:r>
      <w:bookmarkEnd w:id="16"/>
      <w:r>
        <w:rPr>
          <w:rFonts w:ascii="Times New Roman"/>
        </w:rPr>
        <w:t>   </w:t>
      </w:r>
      <w:r>
        <w:rPr>
          <w:rStyle w:val="83"/>
          <w:rFonts w:ascii="Times New Roman"/>
        </w:rPr>
        <w:t>发布</w:t>
      </w:r>
      <w:bookmarkEnd w:id="17"/>
      <w:bookmarkEnd w:id="18"/>
    </w:p>
    <w:p>
      <w:pPr>
        <w:pStyle w:val="25"/>
        <w:spacing w:before="156" w:beforeLines="50" w:line="360" w:lineRule="auto"/>
        <w:rPr>
          <w:rFonts w:ascii="Times New Roman"/>
        </w:rPr>
        <w:sectPr>
          <w:pgSz w:w="11906" w:h="16838"/>
          <w:pgMar w:top="567" w:right="850" w:bottom="1134" w:left="1418" w:header="0" w:footer="283" w:gutter="0"/>
          <w:pgNumType w:fmt="decimal" w:start="1"/>
          <w:cols w:space="720" w:num="1"/>
          <w:docGrid w:type="lines" w:linePitch="312" w:charSpace="0"/>
        </w:sectPr>
      </w:pPr>
      <w:r>
        <w:rPr>
          <w:rFonts w:ascii="Times New Roman"/>
        </w:rPr>
        <mc:AlternateContent>
          <mc:Choice Requires="wps">
            <w:drawing>
              <wp:anchor distT="0" distB="0" distL="114300" distR="114300" simplePos="0" relativeHeight="251663360" behindDoc="0" locked="0" layoutInCell="1" allowOverlap="1">
                <wp:simplePos x="0" y="0"/>
                <wp:positionH relativeFrom="column">
                  <wp:posOffset>-635</wp:posOffset>
                </wp:positionH>
                <wp:positionV relativeFrom="paragraph">
                  <wp:posOffset>2339975</wp:posOffset>
                </wp:positionV>
                <wp:extent cx="6120130" cy="0"/>
                <wp:effectExtent l="0" t="4445" r="0" b="5080"/>
                <wp:wrapNone/>
                <wp:docPr id="5" name="直线 11"/>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1" o:spid="_x0000_s1026" o:spt="20" style="position:absolute;left:0pt;margin-left:-0.05pt;margin-top:184.25pt;height:0pt;width:481.9pt;z-index:251663360;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QkHiX9cA&#10;AAAJAQAADwAAAAAAAAABACAAAAAiAAAAZHJzL2Rvd25yZXYueG1sUEsBAhQAFAAAAAgAh07iQEn1&#10;+hvnAQAA3AMAAA4AAAAAAAAAAQAgAAAAJgEAAGRycy9lMm9Eb2MueG1sUEsFBgAAAAAGAAYAWQEA&#10;AH8FAAAAAA==&#10;">
                <v:fill on="f" focussize="0,0"/>
                <v:stroke color="#000000" joinstyle="round"/>
                <v:imagedata o:title=""/>
                <o:lock v:ext="edit" aspectratio="f"/>
              </v:line>
            </w:pict>
          </mc:Fallback>
        </mc:AlternateContent>
      </w:r>
    </w:p>
    <w:p>
      <w:pPr>
        <w:pStyle w:val="122"/>
        <w:spacing w:before="156" w:beforeLines="50" w:after="0" w:line="360" w:lineRule="auto"/>
        <w:rPr>
          <w:rFonts w:hint="eastAsia" w:ascii="Times New Roman"/>
          <w:lang w:val="en-US" w:eastAsia="zh-CN"/>
        </w:rPr>
      </w:pPr>
      <w:bookmarkStart w:id="19" w:name="BZ"/>
      <w:bookmarkEnd w:id="19"/>
      <w:bookmarkStart w:id="20" w:name="_Toc5217"/>
      <w:bookmarkStart w:id="21" w:name="_Toc19285"/>
      <w:r>
        <w:rPr>
          <w:rFonts w:hint="eastAsia" w:ascii="Times New Roman"/>
          <w:lang w:val="en-US" w:eastAsia="zh-CN"/>
        </w:rPr>
        <w:t>目</w:t>
      </w:r>
      <w:r>
        <w:rPr>
          <w:rFonts w:ascii="Times New Roman"/>
        </w:rPr>
        <w:t>  </w:t>
      </w:r>
      <w:r>
        <w:rPr>
          <w:rFonts w:hint="eastAsia" w:ascii="Times New Roman"/>
          <w:lang w:val="en-US" w:eastAsia="zh-CN"/>
        </w:rPr>
        <w:t>次</w:t>
      </w:r>
      <w:bookmarkEnd w:id="20"/>
      <w:bookmarkEnd w:id="21"/>
    </w:p>
    <w:sdt>
      <w:sdtPr>
        <w:rPr>
          <w:rFonts w:ascii="宋体" w:hAnsi="宋体" w:eastAsia="宋体" w:cs="Times New Roman"/>
          <w:kern w:val="2"/>
          <w:sz w:val="21"/>
          <w:szCs w:val="24"/>
          <w:lang w:val="en-US" w:eastAsia="zh-CN" w:bidi="ar-SA"/>
        </w:rPr>
        <w:id w:val="147465818"/>
        <w15:color w:val="DBDBDB"/>
        <w:docPartObj>
          <w:docPartGallery w:val="Table of Contents"/>
          <w:docPartUnique/>
        </w:docPartObj>
      </w:sdtPr>
      <w:sdtEndPr>
        <w:rPr>
          <w:rFonts w:hint="default" w:ascii="Times New Roman" w:hAnsi="Times New Roman" w:eastAsia="宋体" w:cs="Times New Roman"/>
          <w:kern w:val="2"/>
          <w:sz w:val="21"/>
          <w:szCs w:val="24"/>
          <w:lang w:val="en-US" w:eastAsia="zh-CN" w:bidi="ar-SA"/>
        </w:rPr>
      </w:sdtEndPr>
      <w:sdtContent>
        <w:p>
          <w:pPr>
            <w:spacing w:before="0" w:beforeLines="0" w:after="0" w:afterLines="0" w:line="240" w:lineRule="auto"/>
            <w:ind w:left="0" w:leftChars="0" w:right="0" w:rightChars="0" w:firstLine="0" w:firstLineChars="0"/>
            <w:jc w:val="center"/>
          </w:pPr>
        </w:p>
        <w:p>
          <w:pPr>
            <w:pStyle w:val="150"/>
            <w:tabs>
              <w:tab w:val="right" w:leader="dot" w:pos="9354"/>
            </w:tabs>
          </w:pPr>
          <w:r>
            <w:rPr>
              <w:rFonts w:hint="default" w:ascii="Times New Roman" w:hAnsi="Times New Roman" w:eastAsia="宋体" w:cs="Times New Roman"/>
              <w:b/>
              <w:sz w:val="21"/>
              <w:lang w:val="en-US" w:eastAsia="zh-CN" w:bidi="ar-SA"/>
            </w:rPr>
            <w:fldChar w:fldCharType="begin"/>
          </w:r>
          <w:r>
            <w:rPr>
              <w:rFonts w:hint="default" w:ascii="Times New Roman" w:hAnsi="Times New Roman" w:eastAsia="宋体" w:cs="Times New Roman"/>
              <w:b/>
              <w:sz w:val="21"/>
              <w:lang w:val="en-US" w:eastAsia="zh-CN" w:bidi="ar-SA"/>
            </w:rPr>
            <w:instrText xml:space="preserve">TOC \o "1-1" \h \u </w:instrText>
          </w:r>
          <w:r>
            <w:rPr>
              <w:rFonts w:hint="default" w:ascii="Times New Roman" w:hAnsi="Times New Roman" w:eastAsia="宋体" w:cs="Times New Roman"/>
              <w:b/>
              <w:sz w:val="21"/>
              <w:lang w:val="en-US" w:eastAsia="zh-CN" w:bidi="ar-SA"/>
            </w:rPr>
            <w:fldChar w:fldCharType="separate"/>
          </w:r>
        </w:p>
        <w:p>
          <w:pPr>
            <w:pStyle w:val="150"/>
            <w:tabs>
              <w:tab w:val="right" w:leader="dot" w:pos="9354"/>
            </w:tabs>
          </w:pPr>
          <w:r>
            <w:rPr>
              <w:rFonts w:hint="default" w:ascii="Times New Roman" w:hAnsi="Times New Roman" w:eastAsia="宋体" w:cs="Times New Roman"/>
              <w:lang w:val="en-US" w:eastAsia="zh-CN" w:bidi="ar-SA"/>
            </w:rPr>
            <w:fldChar w:fldCharType="begin"/>
          </w:r>
          <w:r>
            <w:rPr>
              <w:rFonts w:hint="default" w:ascii="Times New Roman" w:hAnsi="Times New Roman" w:eastAsia="宋体" w:cs="Times New Roman"/>
              <w:lang w:val="en-US" w:eastAsia="zh-CN" w:bidi="ar-SA"/>
            </w:rPr>
            <w:instrText xml:space="preserve"> HYPERLINK \l _Toc5429 </w:instrText>
          </w:r>
          <w:r>
            <w:rPr>
              <w:rFonts w:hint="default" w:ascii="Times New Roman" w:hAnsi="Times New Roman" w:eastAsia="宋体" w:cs="Times New Roman"/>
              <w:lang w:val="en-US" w:eastAsia="zh-CN" w:bidi="ar-SA"/>
            </w:rPr>
            <w:fldChar w:fldCharType="separate"/>
          </w:r>
          <w:r>
            <w:rPr>
              <w:rFonts w:hint="eastAsia" w:ascii="黑体" w:hAnsi="黑体" w:eastAsia="黑体" w:cs="黑体"/>
              <w:highlight w:val="none"/>
            </w:rPr>
            <w:t>前言</w:t>
          </w:r>
          <w:r>
            <w:tab/>
          </w:r>
          <w:r>
            <w:fldChar w:fldCharType="begin"/>
          </w:r>
          <w:r>
            <w:instrText xml:space="preserve"> PAGEREF _Toc5429 \h </w:instrText>
          </w:r>
          <w:r>
            <w:fldChar w:fldCharType="separate"/>
          </w:r>
          <w:r>
            <w:t>2</w:t>
          </w:r>
          <w:r>
            <w:fldChar w:fldCharType="end"/>
          </w:r>
          <w:r>
            <w:rPr>
              <w:rFonts w:hint="default" w:ascii="Times New Roman" w:hAnsi="Times New Roman" w:eastAsia="宋体" w:cs="Times New Roman"/>
              <w:lang w:val="en-US" w:eastAsia="zh-CN" w:bidi="ar-SA"/>
            </w:rPr>
            <w:fldChar w:fldCharType="end"/>
          </w:r>
        </w:p>
        <w:p>
          <w:pPr>
            <w:pStyle w:val="150"/>
            <w:tabs>
              <w:tab w:val="right" w:leader="dot" w:pos="9354"/>
            </w:tabs>
          </w:pPr>
          <w:r>
            <w:rPr>
              <w:rFonts w:hint="default" w:ascii="Times New Roman" w:hAnsi="Times New Roman" w:eastAsia="宋体" w:cs="Times New Roman"/>
              <w:lang w:val="en-US" w:eastAsia="zh-CN" w:bidi="ar-SA"/>
            </w:rPr>
            <w:fldChar w:fldCharType="begin"/>
          </w:r>
          <w:r>
            <w:rPr>
              <w:rFonts w:hint="default" w:ascii="Times New Roman" w:hAnsi="Times New Roman" w:eastAsia="宋体" w:cs="Times New Roman"/>
              <w:lang w:val="en-US" w:eastAsia="zh-CN" w:bidi="ar-SA"/>
            </w:rPr>
            <w:instrText xml:space="preserve"> HYPERLINK \l _Toc18453 </w:instrText>
          </w:r>
          <w:r>
            <w:rPr>
              <w:rFonts w:hint="default" w:ascii="Times New Roman" w:hAnsi="Times New Roman" w:eastAsia="宋体" w:cs="Times New Roman"/>
              <w:lang w:val="en-US" w:eastAsia="zh-CN" w:bidi="ar-SA"/>
            </w:rPr>
            <w:fldChar w:fldCharType="separate"/>
          </w:r>
          <w:r>
            <w:rPr>
              <w:rFonts w:hint="eastAsia" w:ascii="黑体" w:hAnsi="Times New Roman" w:eastAsia="黑体"/>
              <w:i w:val="0"/>
              <w:szCs w:val="21"/>
            </w:rPr>
            <w:t xml:space="preserve">1 </w:t>
          </w:r>
          <w:r>
            <w:rPr>
              <w:rFonts w:hint="eastAsia" w:ascii="黑体" w:hAnsi="黑体" w:eastAsia="黑体" w:cs="黑体"/>
              <w:highlight w:val="none"/>
            </w:rPr>
            <w:t>范围</w:t>
          </w:r>
          <w:r>
            <w:tab/>
          </w:r>
          <w:r>
            <w:fldChar w:fldCharType="begin"/>
          </w:r>
          <w:r>
            <w:instrText xml:space="preserve"> PAGEREF _Toc18453 \h </w:instrText>
          </w:r>
          <w:r>
            <w:fldChar w:fldCharType="separate"/>
          </w:r>
          <w:r>
            <w:t>3</w:t>
          </w:r>
          <w:r>
            <w:fldChar w:fldCharType="end"/>
          </w:r>
          <w:r>
            <w:rPr>
              <w:rFonts w:hint="default" w:ascii="Times New Roman" w:hAnsi="Times New Roman" w:eastAsia="宋体" w:cs="Times New Roman"/>
              <w:lang w:val="en-US" w:eastAsia="zh-CN" w:bidi="ar-SA"/>
            </w:rPr>
            <w:fldChar w:fldCharType="end"/>
          </w:r>
        </w:p>
        <w:p>
          <w:pPr>
            <w:pStyle w:val="150"/>
            <w:tabs>
              <w:tab w:val="right" w:leader="dot" w:pos="9354"/>
            </w:tabs>
          </w:pPr>
          <w:r>
            <w:rPr>
              <w:rFonts w:hint="default" w:ascii="Times New Roman" w:hAnsi="Times New Roman" w:eastAsia="宋体" w:cs="Times New Roman"/>
              <w:lang w:val="en-US" w:eastAsia="zh-CN" w:bidi="ar-SA"/>
            </w:rPr>
            <w:fldChar w:fldCharType="begin"/>
          </w:r>
          <w:r>
            <w:rPr>
              <w:rFonts w:hint="default" w:ascii="Times New Roman" w:hAnsi="Times New Roman" w:eastAsia="宋体" w:cs="Times New Roman"/>
              <w:lang w:val="en-US" w:eastAsia="zh-CN" w:bidi="ar-SA"/>
            </w:rPr>
            <w:instrText xml:space="preserve"> HYPERLINK \l _Toc4634 </w:instrText>
          </w:r>
          <w:r>
            <w:rPr>
              <w:rFonts w:hint="default" w:ascii="Times New Roman" w:hAnsi="Times New Roman" w:eastAsia="宋体" w:cs="Times New Roman"/>
              <w:lang w:val="en-US" w:eastAsia="zh-CN" w:bidi="ar-SA"/>
            </w:rPr>
            <w:fldChar w:fldCharType="separate"/>
          </w:r>
          <w:r>
            <w:rPr>
              <w:rFonts w:hint="eastAsia" w:ascii="黑体" w:hAnsi="Times New Roman" w:eastAsia="黑体"/>
              <w:i w:val="0"/>
              <w:szCs w:val="21"/>
            </w:rPr>
            <w:t xml:space="preserve">2 </w:t>
          </w:r>
          <w:r>
            <w:rPr>
              <w:rFonts w:hint="eastAsia" w:ascii="黑体" w:hAnsi="黑体" w:eastAsia="黑体" w:cs="黑体"/>
              <w:highlight w:val="none"/>
            </w:rPr>
            <w:t>规范性引用文件</w:t>
          </w:r>
          <w:r>
            <w:tab/>
          </w:r>
          <w:r>
            <w:fldChar w:fldCharType="begin"/>
          </w:r>
          <w:r>
            <w:instrText xml:space="preserve"> PAGEREF _Toc4634 \h </w:instrText>
          </w:r>
          <w:r>
            <w:fldChar w:fldCharType="separate"/>
          </w:r>
          <w:r>
            <w:t>3</w:t>
          </w:r>
          <w:r>
            <w:fldChar w:fldCharType="end"/>
          </w:r>
          <w:r>
            <w:rPr>
              <w:rFonts w:hint="default" w:ascii="Times New Roman" w:hAnsi="Times New Roman" w:eastAsia="宋体" w:cs="Times New Roman"/>
              <w:lang w:val="en-US" w:eastAsia="zh-CN" w:bidi="ar-SA"/>
            </w:rPr>
            <w:fldChar w:fldCharType="end"/>
          </w:r>
        </w:p>
        <w:p>
          <w:pPr>
            <w:pStyle w:val="150"/>
            <w:tabs>
              <w:tab w:val="right" w:leader="dot" w:pos="9354"/>
            </w:tabs>
          </w:pPr>
          <w:r>
            <w:rPr>
              <w:rFonts w:hint="default" w:ascii="Times New Roman" w:hAnsi="Times New Roman" w:eastAsia="宋体" w:cs="Times New Roman"/>
              <w:lang w:val="en-US" w:eastAsia="zh-CN" w:bidi="ar-SA"/>
            </w:rPr>
            <w:fldChar w:fldCharType="begin"/>
          </w:r>
          <w:r>
            <w:rPr>
              <w:rFonts w:hint="default" w:ascii="Times New Roman" w:hAnsi="Times New Roman" w:eastAsia="宋体" w:cs="Times New Roman"/>
              <w:lang w:val="en-US" w:eastAsia="zh-CN" w:bidi="ar-SA"/>
            </w:rPr>
            <w:instrText xml:space="preserve"> HYPERLINK \l _Toc23122 </w:instrText>
          </w:r>
          <w:r>
            <w:rPr>
              <w:rFonts w:hint="default" w:ascii="Times New Roman" w:hAnsi="Times New Roman" w:eastAsia="宋体" w:cs="Times New Roman"/>
              <w:lang w:val="en-US" w:eastAsia="zh-CN" w:bidi="ar-SA"/>
            </w:rPr>
            <w:fldChar w:fldCharType="separate"/>
          </w:r>
          <w:r>
            <w:rPr>
              <w:rFonts w:hint="eastAsia" w:ascii="黑体" w:hAnsi="Times New Roman" w:eastAsia="黑体"/>
              <w:i w:val="0"/>
              <w:szCs w:val="21"/>
            </w:rPr>
            <w:t xml:space="preserve">3 </w:t>
          </w:r>
          <w:r>
            <w:rPr>
              <w:rFonts w:hint="eastAsia" w:ascii="黑体" w:hAnsi="黑体" w:eastAsia="黑体" w:cs="黑体"/>
              <w:highlight w:val="none"/>
            </w:rPr>
            <w:t>术语和定义</w:t>
          </w:r>
          <w:r>
            <w:tab/>
          </w:r>
          <w:r>
            <w:fldChar w:fldCharType="begin"/>
          </w:r>
          <w:r>
            <w:instrText xml:space="preserve"> PAGEREF _Toc23122 \h </w:instrText>
          </w:r>
          <w:r>
            <w:fldChar w:fldCharType="separate"/>
          </w:r>
          <w:r>
            <w:t>4</w:t>
          </w:r>
          <w:r>
            <w:fldChar w:fldCharType="end"/>
          </w:r>
          <w:r>
            <w:rPr>
              <w:rFonts w:hint="default" w:ascii="Times New Roman" w:hAnsi="Times New Roman" w:eastAsia="宋体" w:cs="Times New Roman"/>
              <w:lang w:val="en-US" w:eastAsia="zh-CN" w:bidi="ar-SA"/>
            </w:rPr>
            <w:fldChar w:fldCharType="end"/>
          </w:r>
        </w:p>
        <w:p>
          <w:pPr>
            <w:pStyle w:val="150"/>
            <w:tabs>
              <w:tab w:val="right" w:leader="dot" w:pos="9354"/>
            </w:tabs>
          </w:pPr>
          <w:r>
            <w:rPr>
              <w:rFonts w:hint="default" w:ascii="Times New Roman" w:hAnsi="Times New Roman" w:eastAsia="宋体" w:cs="Times New Roman"/>
              <w:lang w:val="en-US" w:eastAsia="zh-CN" w:bidi="ar-SA"/>
            </w:rPr>
            <w:fldChar w:fldCharType="begin"/>
          </w:r>
          <w:r>
            <w:rPr>
              <w:rFonts w:hint="default" w:ascii="Times New Roman" w:hAnsi="Times New Roman" w:eastAsia="宋体" w:cs="Times New Roman"/>
              <w:lang w:val="en-US" w:eastAsia="zh-CN" w:bidi="ar-SA"/>
            </w:rPr>
            <w:instrText xml:space="preserve"> HYPERLINK \l _Toc13959 </w:instrText>
          </w:r>
          <w:r>
            <w:rPr>
              <w:rFonts w:hint="default" w:ascii="Times New Roman" w:hAnsi="Times New Roman" w:eastAsia="宋体" w:cs="Times New Roman"/>
              <w:lang w:val="en-US" w:eastAsia="zh-CN" w:bidi="ar-SA"/>
            </w:rPr>
            <w:fldChar w:fldCharType="separate"/>
          </w:r>
          <w:r>
            <w:rPr>
              <w:rFonts w:hint="eastAsia" w:ascii="黑体" w:hAnsi="黑体" w:eastAsia="黑体" w:cs="黑体"/>
              <w:kern w:val="0"/>
              <w:szCs w:val="21"/>
              <w:highlight w:val="none"/>
              <w:lang w:val="en-US" w:eastAsia="zh-CN"/>
            </w:rPr>
            <w:t xml:space="preserve">4 </w:t>
          </w:r>
          <w:r>
            <w:rPr>
              <w:rFonts w:hint="eastAsia" w:eastAsia="黑体"/>
              <w:kern w:val="0"/>
              <w:szCs w:val="21"/>
              <w:highlight w:val="none"/>
            </w:rPr>
            <w:t>质量</w:t>
          </w:r>
          <w:r>
            <w:rPr>
              <w:rFonts w:hint="eastAsia" w:eastAsia="黑体"/>
              <w:kern w:val="0"/>
              <w:szCs w:val="21"/>
              <w:highlight w:val="none"/>
              <w:lang w:val="en-US" w:eastAsia="zh-CN"/>
            </w:rPr>
            <w:t>体系建设</w:t>
          </w:r>
          <w:r>
            <w:tab/>
          </w:r>
          <w:r>
            <w:fldChar w:fldCharType="begin"/>
          </w:r>
          <w:r>
            <w:instrText xml:space="preserve"> PAGEREF _Toc13959 \h </w:instrText>
          </w:r>
          <w:r>
            <w:fldChar w:fldCharType="separate"/>
          </w:r>
          <w:r>
            <w:t>4</w:t>
          </w:r>
          <w:r>
            <w:fldChar w:fldCharType="end"/>
          </w:r>
          <w:r>
            <w:rPr>
              <w:rFonts w:hint="default" w:ascii="Times New Roman" w:hAnsi="Times New Roman" w:eastAsia="宋体" w:cs="Times New Roman"/>
              <w:lang w:val="en-US" w:eastAsia="zh-CN" w:bidi="ar-SA"/>
            </w:rPr>
            <w:fldChar w:fldCharType="end"/>
          </w:r>
        </w:p>
        <w:p>
          <w:pPr>
            <w:pStyle w:val="150"/>
            <w:tabs>
              <w:tab w:val="right" w:leader="dot" w:pos="9354"/>
            </w:tabs>
          </w:pPr>
          <w:r>
            <w:rPr>
              <w:rFonts w:hint="default" w:ascii="Times New Roman" w:hAnsi="Times New Roman" w:eastAsia="宋体" w:cs="Times New Roman"/>
              <w:lang w:val="en-US" w:eastAsia="zh-CN" w:bidi="ar-SA"/>
            </w:rPr>
            <w:fldChar w:fldCharType="begin"/>
          </w:r>
          <w:r>
            <w:rPr>
              <w:rFonts w:hint="default" w:ascii="Times New Roman" w:hAnsi="Times New Roman" w:eastAsia="宋体" w:cs="Times New Roman"/>
              <w:lang w:val="en-US" w:eastAsia="zh-CN" w:bidi="ar-SA"/>
            </w:rPr>
            <w:instrText xml:space="preserve"> HYPERLINK \l _Toc19520 </w:instrText>
          </w:r>
          <w:r>
            <w:rPr>
              <w:rFonts w:hint="default" w:ascii="Times New Roman" w:hAnsi="Times New Roman" w:eastAsia="宋体" w:cs="Times New Roman"/>
              <w:lang w:val="en-US" w:eastAsia="zh-CN" w:bidi="ar-SA"/>
            </w:rPr>
            <w:fldChar w:fldCharType="separate"/>
          </w:r>
          <w:r>
            <w:rPr>
              <w:rFonts w:hint="eastAsia" w:ascii="黑体" w:hAnsi="黑体" w:eastAsia="黑体" w:cs="黑体"/>
              <w:kern w:val="0"/>
              <w:szCs w:val="20"/>
              <w:highlight w:val="none"/>
              <w:lang w:val="en-US" w:eastAsia="zh-CN"/>
            </w:rPr>
            <w:t xml:space="preserve">5 </w:t>
          </w:r>
          <w:r>
            <w:rPr>
              <w:rFonts w:hint="eastAsia" w:eastAsia="黑体"/>
              <w:kern w:val="0"/>
              <w:szCs w:val="21"/>
              <w:highlight w:val="none"/>
              <w:lang w:val="en-US" w:eastAsia="zh-CN"/>
            </w:rPr>
            <w:t>产地质量控制</w:t>
          </w:r>
          <w:r>
            <w:tab/>
          </w:r>
          <w:r>
            <w:fldChar w:fldCharType="begin"/>
          </w:r>
          <w:r>
            <w:instrText xml:space="preserve"> PAGEREF _Toc19520 \h </w:instrText>
          </w:r>
          <w:r>
            <w:fldChar w:fldCharType="separate"/>
          </w:r>
          <w:r>
            <w:t>4</w:t>
          </w:r>
          <w:r>
            <w:fldChar w:fldCharType="end"/>
          </w:r>
          <w:r>
            <w:rPr>
              <w:rFonts w:hint="default" w:ascii="Times New Roman" w:hAnsi="Times New Roman" w:eastAsia="宋体" w:cs="Times New Roman"/>
              <w:lang w:val="en-US" w:eastAsia="zh-CN" w:bidi="ar-SA"/>
            </w:rPr>
            <w:fldChar w:fldCharType="end"/>
          </w:r>
        </w:p>
        <w:p>
          <w:pPr>
            <w:pStyle w:val="150"/>
            <w:tabs>
              <w:tab w:val="right" w:leader="dot" w:pos="9354"/>
            </w:tabs>
          </w:pPr>
          <w:r>
            <w:rPr>
              <w:rFonts w:hint="default" w:ascii="Times New Roman" w:hAnsi="Times New Roman" w:eastAsia="宋体" w:cs="Times New Roman"/>
              <w:lang w:val="en-US" w:eastAsia="zh-CN" w:bidi="ar-SA"/>
            </w:rPr>
            <w:fldChar w:fldCharType="begin"/>
          </w:r>
          <w:r>
            <w:rPr>
              <w:rFonts w:hint="default" w:ascii="Times New Roman" w:hAnsi="Times New Roman" w:eastAsia="宋体" w:cs="Times New Roman"/>
              <w:lang w:val="en-US" w:eastAsia="zh-CN" w:bidi="ar-SA"/>
            </w:rPr>
            <w:instrText xml:space="preserve"> HYPERLINK \l _Toc28989 </w:instrText>
          </w:r>
          <w:r>
            <w:rPr>
              <w:rFonts w:hint="default" w:ascii="Times New Roman" w:hAnsi="Times New Roman" w:eastAsia="宋体" w:cs="Times New Roman"/>
              <w:lang w:val="en-US" w:eastAsia="zh-CN" w:bidi="ar-SA"/>
            </w:rPr>
            <w:fldChar w:fldCharType="separate"/>
          </w:r>
          <w:r>
            <w:rPr>
              <w:rFonts w:hint="eastAsia" w:ascii="黑体" w:hAnsi="黑体" w:eastAsia="黑体" w:cs="黑体"/>
              <w:kern w:val="0"/>
              <w:szCs w:val="21"/>
              <w:highlight w:val="none"/>
              <w:lang w:val="en-US" w:eastAsia="zh-CN"/>
            </w:rPr>
            <w:t xml:space="preserve">6 </w:t>
          </w:r>
          <w:r>
            <w:rPr>
              <w:rFonts w:eastAsia="黑体"/>
              <w:kern w:val="0"/>
              <w:szCs w:val="21"/>
              <w:highlight w:val="none"/>
            </w:rPr>
            <w:t>农业投入品</w:t>
          </w:r>
          <w:r>
            <w:rPr>
              <w:rFonts w:hint="eastAsia" w:eastAsia="黑体"/>
              <w:kern w:val="0"/>
              <w:szCs w:val="21"/>
              <w:highlight w:val="none"/>
              <w:lang w:val="en-US" w:eastAsia="zh-CN"/>
            </w:rPr>
            <w:t>管理</w:t>
          </w:r>
          <w:r>
            <w:tab/>
          </w:r>
          <w:r>
            <w:fldChar w:fldCharType="begin"/>
          </w:r>
          <w:r>
            <w:instrText xml:space="preserve"> PAGEREF _Toc28989 \h </w:instrText>
          </w:r>
          <w:r>
            <w:fldChar w:fldCharType="separate"/>
          </w:r>
          <w:r>
            <w:t>5</w:t>
          </w:r>
          <w:r>
            <w:fldChar w:fldCharType="end"/>
          </w:r>
          <w:r>
            <w:rPr>
              <w:rFonts w:hint="default" w:ascii="Times New Roman" w:hAnsi="Times New Roman" w:eastAsia="宋体" w:cs="Times New Roman"/>
              <w:lang w:val="en-US" w:eastAsia="zh-CN" w:bidi="ar-SA"/>
            </w:rPr>
            <w:fldChar w:fldCharType="end"/>
          </w:r>
        </w:p>
        <w:p>
          <w:pPr>
            <w:pStyle w:val="150"/>
            <w:tabs>
              <w:tab w:val="right" w:leader="dot" w:pos="9354"/>
            </w:tabs>
          </w:pPr>
          <w:r>
            <w:rPr>
              <w:rFonts w:hint="default" w:ascii="Times New Roman" w:hAnsi="Times New Roman" w:eastAsia="宋体" w:cs="Times New Roman"/>
              <w:lang w:val="en-US" w:eastAsia="zh-CN" w:bidi="ar-SA"/>
            </w:rPr>
            <w:fldChar w:fldCharType="begin"/>
          </w:r>
          <w:r>
            <w:rPr>
              <w:rFonts w:hint="default" w:ascii="Times New Roman" w:hAnsi="Times New Roman" w:eastAsia="宋体" w:cs="Times New Roman"/>
              <w:lang w:val="en-US" w:eastAsia="zh-CN" w:bidi="ar-SA"/>
            </w:rPr>
            <w:instrText xml:space="preserve"> HYPERLINK \l _Toc24633 </w:instrText>
          </w:r>
          <w:r>
            <w:rPr>
              <w:rFonts w:hint="default" w:ascii="Times New Roman" w:hAnsi="Times New Roman" w:eastAsia="宋体" w:cs="Times New Roman"/>
              <w:lang w:val="en-US" w:eastAsia="zh-CN" w:bidi="ar-SA"/>
            </w:rPr>
            <w:fldChar w:fldCharType="separate"/>
          </w:r>
          <w:r>
            <w:rPr>
              <w:rFonts w:hint="eastAsia" w:ascii="黑体" w:hAnsi="黑体" w:eastAsia="黑体" w:cs="黑体"/>
              <w:kern w:val="0"/>
              <w:szCs w:val="21"/>
              <w:highlight w:val="none"/>
              <w:lang w:val="en-US" w:eastAsia="zh-CN"/>
            </w:rPr>
            <w:t xml:space="preserve">7 </w:t>
          </w:r>
          <w:r>
            <w:rPr>
              <w:rFonts w:eastAsia="黑体"/>
              <w:kern w:val="0"/>
              <w:szCs w:val="21"/>
              <w:highlight w:val="none"/>
            </w:rPr>
            <w:t>栽培</w:t>
          </w:r>
          <w:r>
            <w:tab/>
          </w:r>
          <w:r>
            <w:fldChar w:fldCharType="begin"/>
          </w:r>
          <w:r>
            <w:instrText xml:space="preserve"> PAGEREF _Toc24633 \h </w:instrText>
          </w:r>
          <w:r>
            <w:fldChar w:fldCharType="separate"/>
          </w:r>
          <w:r>
            <w:t>5</w:t>
          </w:r>
          <w:r>
            <w:fldChar w:fldCharType="end"/>
          </w:r>
          <w:r>
            <w:rPr>
              <w:rFonts w:hint="default" w:ascii="Times New Roman" w:hAnsi="Times New Roman" w:eastAsia="宋体" w:cs="Times New Roman"/>
              <w:lang w:val="en-US" w:eastAsia="zh-CN" w:bidi="ar-SA"/>
            </w:rPr>
            <w:fldChar w:fldCharType="end"/>
          </w:r>
        </w:p>
        <w:p>
          <w:pPr>
            <w:pStyle w:val="150"/>
            <w:tabs>
              <w:tab w:val="right" w:leader="dot" w:pos="9354"/>
            </w:tabs>
          </w:pPr>
          <w:r>
            <w:rPr>
              <w:rFonts w:hint="default" w:ascii="Times New Roman" w:hAnsi="Times New Roman" w:eastAsia="宋体" w:cs="Times New Roman"/>
              <w:lang w:val="en-US" w:eastAsia="zh-CN" w:bidi="ar-SA"/>
            </w:rPr>
            <w:fldChar w:fldCharType="begin"/>
          </w:r>
          <w:r>
            <w:rPr>
              <w:rFonts w:hint="default" w:ascii="Times New Roman" w:hAnsi="Times New Roman" w:eastAsia="宋体" w:cs="Times New Roman"/>
              <w:lang w:val="en-US" w:eastAsia="zh-CN" w:bidi="ar-SA"/>
            </w:rPr>
            <w:instrText xml:space="preserve"> HYPERLINK \l _Toc2073 </w:instrText>
          </w:r>
          <w:r>
            <w:rPr>
              <w:rFonts w:hint="default" w:ascii="Times New Roman" w:hAnsi="Times New Roman" w:eastAsia="宋体" w:cs="Times New Roman"/>
              <w:lang w:val="en-US" w:eastAsia="zh-CN" w:bidi="ar-SA"/>
            </w:rPr>
            <w:fldChar w:fldCharType="separate"/>
          </w:r>
          <w:r>
            <w:rPr>
              <w:rFonts w:hint="eastAsia" w:ascii="黑体" w:hAnsi="黑体" w:eastAsia="黑体" w:cs="黑体"/>
              <w:bCs w:val="0"/>
              <w:kern w:val="0"/>
              <w:szCs w:val="21"/>
              <w:highlight w:val="none"/>
              <w:lang w:val="en-US" w:eastAsia="zh-CN"/>
            </w:rPr>
            <w:t xml:space="preserve">8 </w:t>
          </w:r>
          <w:r>
            <w:rPr>
              <w:rFonts w:hint="eastAsia" w:eastAsia="黑体"/>
              <w:kern w:val="0"/>
              <w:szCs w:val="21"/>
              <w:highlight w:val="none"/>
              <w:lang w:val="en-US" w:eastAsia="zh-CN"/>
            </w:rPr>
            <w:t>施肥</w:t>
          </w:r>
          <w:r>
            <w:tab/>
          </w:r>
          <w:r>
            <w:fldChar w:fldCharType="begin"/>
          </w:r>
          <w:r>
            <w:instrText xml:space="preserve"> PAGEREF _Toc2073 \h </w:instrText>
          </w:r>
          <w:r>
            <w:fldChar w:fldCharType="separate"/>
          </w:r>
          <w:r>
            <w:t>6</w:t>
          </w:r>
          <w:r>
            <w:fldChar w:fldCharType="end"/>
          </w:r>
          <w:r>
            <w:rPr>
              <w:rFonts w:hint="default" w:ascii="Times New Roman" w:hAnsi="Times New Roman" w:eastAsia="宋体" w:cs="Times New Roman"/>
              <w:lang w:val="en-US" w:eastAsia="zh-CN" w:bidi="ar-SA"/>
            </w:rPr>
            <w:fldChar w:fldCharType="end"/>
          </w:r>
        </w:p>
        <w:p>
          <w:pPr>
            <w:pStyle w:val="150"/>
            <w:tabs>
              <w:tab w:val="right" w:leader="dot" w:pos="9354"/>
            </w:tabs>
          </w:pPr>
          <w:r>
            <w:rPr>
              <w:rFonts w:hint="default" w:ascii="Times New Roman" w:hAnsi="Times New Roman" w:eastAsia="宋体" w:cs="Times New Roman"/>
              <w:lang w:val="en-US" w:eastAsia="zh-CN" w:bidi="ar-SA"/>
            </w:rPr>
            <w:fldChar w:fldCharType="begin"/>
          </w:r>
          <w:r>
            <w:rPr>
              <w:rFonts w:hint="default" w:ascii="Times New Roman" w:hAnsi="Times New Roman" w:eastAsia="宋体" w:cs="Times New Roman"/>
              <w:lang w:val="en-US" w:eastAsia="zh-CN" w:bidi="ar-SA"/>
            </w:rPr>
            <w:instrText xml:space="preserve"> HYPERLINK \l _Toc17902 </w:instrText>
          </w:r>
          <w:r>
            <w:rPr>
              <w:rFonts w:hint="default" w:ascii="Times New Roman" w:hAnsi="Times New Roman" w:eastAsia="宋体" w:cs="Times New Roman"/>
              <w:lang w:val="en-US" w:eastAsia="zh-CN" w:bidi="ar-SA"/>
            </w:rPr>
            <w:fldChar w:fldCharType="separate"/>
          </w:r>
          <w:r>
            <w:rPr>
              <w:rFonts w:hint="eastAsia" w:ascii="黑体" w:hAnsi="黑体" w:eastAsia="黑体" w:cs="黑体"/>
              <w:bCs w:val="0"/>
              <w:kern w:val="0"/>
              <w:szCs w:val="21"/>
              <w:highlight w:val="none"/>
              <w:lang w:val="en-US" w:eastAsia="zh-CN"/>
            </w:rPr>
            <w:t xml:space="preserve">9 </w:t>
          </w:r>
          <w:r>
            <w:rPr>
              <w:rFonts w:hint="eastAsia" w:eastAsia="黑体"/>
              <w:kern w:val="0"/>
              <w:szCs w:val="21"/>
              <w:highlight w:val="none"/>
              <w:lang w:val="en-US" w:eastAsia="zh-CN"/>
            </w:rPr>
            <w:t>病虫草害</w:t>
          </w:r>
          <w:r>
            <w:rPr>
              <w:rFonts w:hint="eastAsia" w:eastAsia="黑体"/>
              <w:kern w:val="0"/>
              <w:szCs w:val="21"/>
              <w:highlight w:val="none"/>
            </w:rPr>
            <w:t>防治</w:t>
          </w:r>
          <w:r>
            <w:tab/>
          </w:r>
          <w:r>
            <w:fldChar w:fldCharType="begin"/>
          </w:r>
          <w:r>
            <w:instrText xml:space="preserve"> PAGEREF _Toc17902 \h </w:instrText>
          </w:r>
          <w:r>
            <w:fldChar w:fldCharType="separate"/>
          </w:r>
          <w:r>
            <w:t>7</w:t>
          </w:r>
          <w:r>
            <w:fldChar w:fldCharType="end"/>
          </w:r>
          <w:r>
            <w:rPr>
              <w:rFonts w:hint="default" w:ascii="Times New Roman" w:hAnsi="Times New Roman" w:eastAsia="宋体" w:cs="Times New Roman"/>
              <w:lang w:val="en-US" w:eastAsia="zh-CN" w:bidi="ar-SA"/>
            </w:rPr>
            <w:fldChar w:fldCharType="end"/>
          </w:r>
        </w:p>
        <w:p>
          <w:pPr>
            <w:pStyle w:val="150"/>
            <w:tabs>
              <w:tab w:val="right" w:leader="dot" w:pos="9354"/>
            </w:tabs>
          </w:pPr>
          <w:r>
            <w:rPr>
              <w:rFonts w:hint="default" w:ascii="Times New Roman" w:hAnsi="Times New Roman" w:eastAsia="宋体" w:cs="Times New Roman"/>
              <w:lang w:val="en-US" w:eastAsia="zh-CN" w:bidi="ar-SA"/>
            </w:rPr>
            <w:fldChar w:fldCharType="begin"/>
          </w:r>
          <w:r>
            <w:rPr>
              <w:rFonts w:hint="default" w:ascii="Times New Roman" w:hAnsi="Times New Roman" w:eastAsia="宋体" w:cs="Times New Roman"/>
              <w:lang w:val="en-US" w:eastAsia="zh-CN" w:bidi="ar-SA"/>
            </w:rPr>
            <w:instrText xml:space="preserve"> HYPERLINK \l _Toc28740 </w:instrText>
          </w:r>
          <w:r>
            <w:rPr>
              <w:rFonts w:hint="default" w:ascii="Times New Roman" w:hAnsi="Times New Roman" w:eastAsia="宋体" w:cs="Times New Roman"/>
              <w:lang w:val="en-US" w:eastAsia="zh-CN" w:bidi="ar-SA"/>
            </w:rPr>
            <w:fldChar w:fldCharType="separate"/>
          </w:r>
          <w:r>
            <w:rPr>
              <w:rFonts w:hint="eastAsia" w:ascii="黑体" w:hAnsi="黑体" w:eastAsia="黑体" w:cs="黑体"/>
              <w:bCs w:val="0"/>
              <w:kern w:val="0"/>
              <w:szCs w:val="21"/>
              <w:highlight w:val="none"/>
              <w:lang w:val="en-US" w:eastAsia="zh-CN"/>
            </w:rPr>
            <w:t xml:space="preserve">10 </w:t>
          </w:r>
          <w:r>
            <w:rPr>
              <w:rFonts w:eastAsia="黑体"/>
              <w:kern w:val="0"/>
              <w:szCs w:val="21"/>
              <w:highlight w:val="none"/>
            </w:rPr>
            <w:t>收获</w:t>
          </w:r>
          <w:r>
            <w:tab/>
          </w:r>
          <w:r>
            <w:fldChar w:fldCharType="begin"/>
          </w:r>
          <w:r>
            <w:instrText xml:space="preserve"> PAGEREF _Toc28740 \h </w:instrText>
          </w:r>
          <w:r>
            <w:fldChar w:fldCharType="separate"/>
          </w:r>
          <w:r>
            <w:t>7</w:t>
          </w:r>
          <w:r>
            <w:fldChar w:fldCharType="end"/>
          </w:r>
          <w:r>
            <w:rPr>
              <w:rFonts w:hint="default" w:ascii="Times New Roman" w:hAnsi="Times New Roman" w:eastAsia="宋体" w:cs="Times New Roman"/>
              <w:lang w:val="en-US" w:eastAsia="zh-CN" w:bidi="ar-SA"/>
            </w:rPr>
            <w:fldChar w:fldCharType="end"/>
          </w:r>
        </w:p>
        <w:p>
          <w:pPr>
            <w:pStyle w:val="150"/>
            <w:tabs>
              <w:tab w:val="right" w:leader="dot" w:pos="9354"/>
            </w:tabs>
          </w:pPr>
          <w:r>
            <w:rPr>
              <w:rFonts w:hint="default" w:ascii="Times New Roman" w:hAnsi="Times New Roman" w:eastAsia="宋体" w:cs="Times New Roman"/>
              <w:lang w:val="en-US" w:eastAsia="zh-CN" w:bidi="ar-SA"/>
            </w:rPr>
            <w:fldChar w:fldCharType="begin"/>
          </w:r>
          <w:r>
            <w:rPr>
              <w:rFonts w:hint="default" w:ascii="Times New Roman" w:hAnsi="Times New Roman" w:eastAsia="宋体" w:cs="Times New Roman"/>
              <w:lang w:val="en-US" w:eastAsia="zh-CN" w:bidi="ar-SA"/>
            </w:rPr>
            <w:instrText xml:space="preserve"> HYPERLINK \l _Toc31024 </w:instrText>
          </w:r>
          <w:r>
            <w:rPr>
              <w:rFonts w:hint="default" w:ascii="Times New Roman" w:hAnsi="Times New Roman" w:eastAsia="宋体" w:cs="Times New Roman"/>
              <w:lang w:val="en-US" w:eastAsia="zh-CN" w:bidi="ar-SA"/>
            </w:rPr>
            <w:fldChar w:fldCharType="separate"/>
          </w:r>
          <w:r>
            <w:rPr>
              <w:rFonts w:hint="eastAsia" w:ascii="黑体" w:hAnsi="黑体" w:eastAsia="黑体" w:cs="黑体"/>
              <w:bCs w:val="0"/>
              <w:kern w:val="0"/>
              <w:szCs w:val="21"/>
              <w:highlight w:val="none"/>
              <w:lang w:val="en-US" w:eastAsia="zh-CN"/>
            </w:rPr>
            <w:t xml:space="preserve">11 </w:t>
          </w:r>
          <w:r>
            <w:rPr>
              <w:rFonts w:eastAsia="黑体"/>
              <w:kern w:val="0"/>
              <w:szCs w:val="21"/>
              <w:highlight w:val="none"/>
            </w:rPr>
            <w:t>储运</w:t>
          </w:r>
          <w:r>
            <w:rPr>
              <w:rFonts w:hint="eastAsia" w:eastAsia="黑体"/>
              <w:kern w:val="0"/>
              <w:szCs w:val="21"/>
              <w:highlight w:val="none"/>
              <w:lang w:val="en-US" w:eastAsia="zh-CN"/>
            </w:rPr>
            <w:t>加工</w:t>
          </w:r>
          <w:r>
            <w:tab/>
          </w:r>
          <w:r>
            <w:fldChar w:fldCharType="begin"/>
          </w:r>
          <w:r>
            <w:instrText xml:space="preserve"> PAGEREF _Toc31024 \h </w:instrText>
          </w:r>
          <w:r>
            <w:fldChar w:fldCharType="separate"/>
          </w:r>
          <w:r>
            <w:t>7</w:t>
          </w:r>
          <w:r>
            <w:fldChar w:fldCharType="end"/>
          </w:r>
          <w:r>
            <w:rPr>
              <w:rFonts w:hint="default" w:ascii="Times New Roman" w:hAnsi="Times New Roman" w:eastAsia="宋体" w:cs="Times New Roman"/>
              <w:lang w:val="en-US" w:eastAsia="zh-CN" w:bidi="ar-SA"/>
            </w:rPr>
            <w:fldChar w:fldCharType="end"/>
          </w:r>
        </w:p>
        <w:p>
          <w:pPr>
            <w:pStyle w:val="150"/>
            <w:tabs>
              <w:tab w:val="right" w:leader="dot" w:pos="9354"/>
            </w:tabs>
          </w:pPr>
          <w:r>
            <w:rPr>
              <w:rFonts w:hint="default" w:ascii="Times New Roman" w:hAnsi="Times New Roman" w:eastAsia="宋体" w:cs="Times New Roman"/>
              <w:lang w:val="en-US" w:eastAsia="zh-CN" w:bidi="ar-SA"/>
            </w:rPr>
            <w:fldChar w:fldCharType="begin"/>
          </w:r>
          <w:r>
            <w:rPr>
              <w:rFonts w:hint="default" w:ascii="Times New Roman" w:hAnsi="Times New Roman" w:eastAsia="宋体" w:cs="Times New Roman"/>
              <w:lang w:val="en-US" w:eastAsia="zh-CN" w:bidi="ar-SA"/>
            </w:rPr>
            <w:instrText xml:space="preserve"> HYPERLINK \l _Toc27731 </w:instrText>
          </w:r>
          <w:r>
            <w:rPr>
              <w:rFonts w:hint="default" w:ascii="Times New Roman" w:hAnsi="Times New Roman" w:eastAsia="宋体" w:cs="Times New Roman"/>
              <w:lang w:val="en-US" w:eastAsia="zh-CN" w:bidi="ar-SA"/>
            </w:rPr>
            <w:fldChar w:fldCharType="separate"/>
          </w:r>
          <w:r>
            <w:rPr>
              <w:rFonts w:hint="eastAsia" w:ascii="黑体" w:hAnsi="黑体" w:eastAsia="黑体" w:cs="黑体"/>
              <w:bCs w:val="0"/>
              <w:kern w:val="0"/>
              <w:szCs w:val="21"/>
              <w:highlight w:val="none"/>
              <w:lang w:val="en-US" w:eastAsia="zh-CN"/>
            </w:rPr>
            <w:t>12</w:t>
          </w:r>
          <w:r>
            <w:rPr>
              <w:rFonts w:hint="eastAsia" w:ascii="黑体" w:hAnsi="黑体" w:eastAsia="黑体" w:cs="黑体"/>
              <w:bCs w:val="0"/>
              <w:kern w:val="0"/>
              <w:szCs w:val="21"/>
              <w:highlight w:val="none"/>
            </w:rPr>
            <w:t xml:space="preserve"> </w:t>
          </w:r>
          <w:r>
            <w:rPr>
              <w:rFonts w:eastAsia="黑体"/>
              <w:kern w:val="0"/>
              <w:szCs w:val="21"/>
              <w:highlight w:val="none"/>
            </w:rPr>
            <w:t>废弃物处置</w:t>
          </w:r>
          <w:r>
            <w:tab/>
          </w:r>
          <w:r>
            <w:fldChar w:fldCharType="begin"/>
          </w:r>
          <w:r>
            <w:instrText xml:space="preserve"> PAGEREF _Toc27731 \h </w:instrText>
          </w:r>
          <w:r>
            <w:fldChar w:fldCharType="separate"/>
          </w:r>
          <w:r>
            <w:t>8</w:t>
          </w:r>
          <w:r>
            <w:fldChar w:fldCharType="end"/>
          </w:r>
          <w:r>
            <w:rPr>
              <w:rFonts w:hint="default" w:ascii="Times New Roman" w:hAnsi="Times New Roman" w:eastAsia="宋体" w:cs="Times New Roman"/>
              <w:lang w:val="en-US" w:eastAsia="zh-CN" w:bidi="ar-SA"/>
            </w:rPr>
            <w:fldChar w:fldCharType="end"/>
          </w:r>
        </w:p>
        <w:p>
          <w:pPr>
            <w:pStyle w:val="150"/>
            <w:tabs>
              <w:tab w:val="right" w:leader="dot" w:pos="9354"/>
            </w:tabs>
          </w:pPr>
          <w:r>
            <w:rPr>
              <w:rFonts w:hint="default" w:ascii="Times New Roman" w:hAnsi="Times New Roman" w:eastAsia="宋体" w:cs="Times New Roman"/>
              <w:lang w:val="en-US" w:eastAsia="zh-CN" w:bidi="ar-SA"/>
            </w:rPr>
            <w:fldChar w:fldCharType="begin"/>
          </w:r>
          <w:r>
            <w:rPr>
              <w:rFonts w:hint="default" w:ascii="Times New Roman" w:hAnsi="Times New Roman" w:eastAsia="宋体" w:cs="Times New Roman"/>
              <w:lang w:val="en-US" w:eastAsia="zh-CN" w:bidi="ar-SA"/>
            </w:rPr>
            <w:instrText xml:space="preserve"> HYPERLINK \l _Toc14373 </w:instrText>
          </w:r>
          <w:r>
            <w:rPr>
              <w:rFonts w:hint="default" w:ascii="Times New Roman" w:hAnsi="Times New Roman" w:eastAsia="宋体" w:cs="Times New Roman"/>
              <w:lang w:val="en-US" w:eastAsia="zh-CN" w:bidi="ar-SA"/>
            </w:rPr>
            <w:fldChar w:fldCharType="separate"/>
          </w:r>
          <w:r>
            <w:rPr>
              <w:rFonts w:hint="eastAsia" w:ascii="黑体" w:hAnsi="黑体" w:eastAsia="黑体" w:cs="黑体"/>
              <w:kern w:val="0"/>
              <w:szCs w:val="21"/>
              <w:highlight w:val="none"/>
              <w:lang w:val="en-US" w:eastAsia="zh-CN"/>
            </w:rPr>
            <w:t>13</w:t>
          </w:r>
          <w:r>
            <w:rPr>
              <w:rFonts w:hint="eastAsia" w:eastAsia="黑体"/>
              <w:kern w:val="0"/>
              <w:szCs w:val="21"/>
              <w:highlight w:val="none"/>
              <w:lang w:val="en-US" w:eastAsia="zh-CN"/>
            </w:rPr>
            <w:t xml:space="preserve"> </w:t>
          </w:r>
          <w:r>
            <w:rPr>
              <w:rFonts w:eastAsia="黑体"/>
              <w:kern w:val="0"/>
              <w:szCs w:val="21"/>
              <w:highlight w:val="none"/>
            </w:rPr>
            <w:t>可追溯管理</w:t>
          </w:r>
          <w:r>
            <w:tab/>
          </w:r>
          <w:r>
            <w:fldChar w:fldCharType="begin"/>
          </w:r>
          <w:r>
            <w:instrText xml:space="preserve"> PAGEREF _Toc14373 \h </w:instrText>
          </w:r>
          <w:r>
            <w:fldChar w:fldCharType="separate"/>
          </w:r>
          <w:r>
            <w:t>8</w:t>
          </w:r>
          <w:r>
            <w:fldChar w:fldCharType="end"/>
          </w:r>
          <w:r>
            <w:rPr>
              <w:rFonts w:hint="default" w:ascii="Times New Roman" w:hAnsi="Times New Roman" w:eastAsia="宋体" w:cs="Times New Roman"/>
              <w:lang w:val="en-US" w:eastAsia="zh-CN" w:bidi="ar-SA"/>
            </w:rPr>
            <w:fldChar w:fldCharType="end"/>
          </w:r>
        </w:p>
        <w:p>
          <w:pPr>
            <w:pStyle w:val="25"/>
            <w:rPr>
              <w:rFonts w:hint="default" w:ascii="Times New Roman" w:hAnsi="Times New Roman" w:eastAsia="宋体" w:cs="Times New Roman"/>
              <w:sz w:val="21"/>
              <w:lang w:val="en-US" w:eastAsia="zh-CN" w:bidi="ar-SA"/>
            </w:rPr>
          </w:pPr>
          <w:r>
            <w:rPr>
              <w:rFonts w:hint="default" w:ascii="Times New Roman" w:hAnsi="Times New Roman" w:eastAsia="宋体" w:cs="Times New Roman"/>
              <w:lang w:val="en-US" w:eastAsia="zh-CN" w:bidi="ar-SA"/>
            </w:rPr>
            <w:fldChar w:fldCharType="end"/>
          </w:r>
        </w:p>
      </w:sdtContent>
    </w:sdt>
    <w:p>
      <w:pPr>
        <w:pStyle w:val="25"/>
        <w:rPr>
          <w:rFonts w:hint="default" w:ascii="Times New Roman" w:hAnsi="Times New Roman" w:eastAsia="宋体" w:cs="Times New Roman"/>
          <w:sz w:val="21"/>
          <w:lang w:val="en-US" w:eastAsia="zh-CN" w:bidi="ar-SA"/>
        </w:rPr>
      </w:pPr>
    </w:p>
    <w:p>
      <w:pPr>
        <w:pStyle w:val="122"/>
        <w:spacing w:before="156" w:beforeLines="50" w:after="0" w:line="360" w:lineRule="auto"/>
        <w:rPr>
          <w:rFonts w:ascii="Times New Roman"/>
        </w:rPr>
      </w:pPr>
      <w:bookmarkStart w:id="22" w:name="_Toc5429"/>
      <w:r>
        <w:rPr>
          <w:rFonts w:ascii="Times New Roman"/>
        </w:rPr>
        <w:t>前</w:t>
      </w:r>
      <w:bookmarkStart w:id="23" w:name="BKQY"/>
      <w:r>
        <w:rPr>
          <w:rFonts w:ascii="Times New Roman"/>
        </w:rPr>
        <w:t>  言</w:t>
      </w:r>
      <w:bookmarkEnd w:id="22"/>
      <w:bookmarkEnd w:id="23"/>
    </w:p>
    <w:p>
      <w:pPr>
        <w:pStyle w:val="25"/>
        <w:rPr>
          <w:rFonts w:ascii="Times New Roman"/>
        </w:rPr>
      </w:pPr>
    </w:p>
    <w:p>
      <w:pPr>
        <w:pStyle w:val="25"/>
        <w:rPr>
          <w:rFonts w:ascii="Times New Roman"/>
        </w:rPr>
      </w:pPr>
      <w:r>
        <w:rPr>
          <w:rFonts w:ascii="Times New Roman"/>
        </w:rPr>
        <w:t>本文件按照GB/T 1.1—2020《标准化工作导则 第1部分：标准化文件的结构和起草规则》的规定起草。</w:t>
      </w:r>
    </w:p>
    <w:p>
      <w:pPr>
        <w:pStyle w:val="25"/>
        <w:rPr>
          <w:rFonts w:hint="default" w:ascii="Times New Roman" w:eastAsia="宋体"/>
          <w:lang w:val="en-US" w:eastAsia="zh-CN"/>
        </w:rPr>
      </w:pPr>
      <w:r>
        <w:rPr>
          <w:rFonts w:hint="eastAsia" w:ascii="Times New Roman"/>
          <w:lang w:val="en-US" w:eastAsia="zh-CN"/>
        </w:rPr>
        <w:t>请注意本文件的默写内容可能涉及专利，本文件的发布机构不承担识别这些专利的责任。</w:t>
      </w:r>
    </w:p>
    <w:p>
      <w:pPr>
        <w:pStyle w:val="25"/>
        <w:rPr>
          <w:rFonts w:hint="eastAsia" w:ascii="Times New Roman"/>
        </w:rPr>
      </w:pPr>
      <w:r>
        <w:rPr>
          <w:rFonts w:ascii="Times New Roman"/>
        </w:rPr>
        <w:t>本文件</w:t>
      </w:r>
      <w:r>
        <w:rPr>
          <w:rFonts w:hint="eastAsia" w:ascii="Times New Roman"/>
        </w:rPr>
        <w:t>由</w:t>
      </w:r>
      <w:r>
        <w:rPr>
          <w:rFonts w:hint="eastAsia"/>
        </w:rPr>
        <w:t>江苏省农业农村厅</w:t>
      </w:r>
      <w:r>
        <w:rPr>
          <w:rFonts w:hint="eastAsia" w:ascii="Times New Roman"/>
        </w:rPr>
        <w:t>提出</w:t>
      </w:r>
      <w:r>
        <w:rPr>
          <w:rFonts w:hint="eastAsia" w:ascii="Times New Roman"/>
          <w:lang w:val="en-US" w:eastAsia="zh-CN"/>
        </w:rPr>
        <w:t>并归口</w:t>
      </w:r>
      <w:r>
        <w:rPr>
          <w:rFonts w:hint="eastAsia" w:ascii="Times New Roman"/>
        </w:rPr>
        <w:t>。</w:t>
      </w:r>
    </w:p>
    <w:p>
      <w:pPr>
        <w:pStyle w:val="25"/>
        <w:rPr>
          <w:rFonts w:ascii="Times New Roman"/>
          <w:highlight w:val="none"/>
        </w:rPr>
      </w:pPr>
      <w:r>
        <w:rPr>
          <w:rFonts w:ascii="Times New Roman"/>
        </w:rPr>
        <w:t>本文件起草单位：</w:t>
      </w:r>
      <w:r>
        <w:rPr>
          <w:rFonts w:hint="eastAsia" w:ascii="Times New Roman"/>
          <w:lang w:val="en-US" w:eastAsia="zh-CN"/>
        </w:rPr>
        <w:t>江苏省农垦农业发展股份有限</w:t>
      </w:r>
      <w:r>
        <w:rPr>
          <w:rFonts w:hint="eastAsia" w:ascii="Times New Roman"/>
          <w:highlight w:val="none"/>
          <w:lang w:val="en-US" w:eastAsia="zh-CN"/>
        </w:rPr>
        <w:t>公司、</w:t>
      </w:r>
      <w:r>
        <w:rPr>
          <w:rFonts w:ascii="Times New Roman"/>
          <w:highlight w:val="none"/>
        </w:rPr>
        <w:t>江苏省农业科学院</w:t>
      </w:r>
      <w:r>
        <w:rPr>
          <w:rFonts w:hint="eastAsia" w:ascii="Times New Roman"/>
          <w:highlight w:val="none"/>
        </w:rPr>
        <w:t>农产品质量安全与营养研究所</w:t>
      </w:r>
      <w:r>
        <w:rPr>
          <w:rFonts w:ascii="Times New Roman"/>
          <w:highlight w:val="none"/>
        </w:rPr>
        <w:t>。</w:t>
      </w:r>
    </w:p>
    <w:p>
      <w:pPr>
        <w:pStyle w:val="25"/>
        <w:rPr>
          <w:rFonts w:ascii="Times New Roman"/>
          <w:highlight w:val="none"/>
        </w:rPr>
      </w:pPr>
      <w:r>
        <w:rPr>
          <w:rFonts w:ascii="Times New Roman"/>
        </w:rPr>
        <w:t>本文件主要起草人：</w:t>
      </w:r>
      <w:r>
        <w:rPr>
          <w:rFonts w:hint="eastAsia" w:ascii="Times New Roman"/>
          <w:highlight w:val="none"/>
          <w:lang w:val="en-US" w:eastAsia="zh-CN"/>
        </w:rPr>
        <w:t>朱亚东、丁涛、徐启来、王勤、徐伟、王康、王宇涵、孟凡相、金林涛、卢海燕、卞立平、孙晓明、张莉萍、秦海龙、何鑫、李艳鹏、程盘龙、王磊、张为为、郭盼、邓世超、王利国</w:t>
      </w:r>
      <w:r>
        <w:rPr>
          <w:rFonts w:ascii="Times New Roman"/>
          <w:highlight w:val="none"/>
        </w:rPr>
        <w:t>。</w:t>
      </w:r>
    </w:p>
    <w:p>
      <w:pPr>
        <w:pStyle w:val="25"/>
        <w:rPr>
          <w:rFonts w:ascii="Times New Roman"/>
          <w:highlight w:val="yellow"/>
        </w:rPr>
      </w:pPr>
    </w:p>
    <w:p>
      <w:pPr>
        <w:pStyle w:val="60"/>
        <w:spacing w:before="156" w:beforeLines="50" w:after="0" w:line="360" w:lineRule="auto"/>
        <w:rPr>
          <w:rFonts w:hint="eastAsia" w:ascii="Times New Roman"/>
          <w:lang w:val="en-US" w:eastAsia="zh-CN"/>
        </w:rPr>
        <w:sectPr>
          <w:headerReference r:id="rId3" w:type="default"/>
          <w:footerReference r:id="rId4" w:type="default"/>
          <w:pgSz w:w="11906" w:h="16838"/>
          <w:pgMar w:top="567" w:right="1134" w:bottom="1134" w:left="1418" w:header="1418" w:footer="283" w:gutter="0"/>
          <w:pgNumType w:fmt="decimal" w:start="1"/>
          <w:cols w:space="720" w:num="1"/>
          <w:formProt w:val="0"/>
          <w:docGrid w:type="lines" w:linePitch="312" w:charSpace="0"/>
        </w:sectPr>
      </w:pPr>
      <w:bookmarkStart w:id="24" w:name="_Toc26841"/>
    </w:p>
    <w:p>
      <w:pPr>
        <w:pStyle w:val="60"/>
        <w:spacing w:before="156" w:beforeLines="50" w:after="0" w:line="360" w:lineRule="auto"/>
        <w:rPr>
          <w:rFonts w:ascii="Times New Roman"/>
        </w:rPr>
      </w:pPr>
      <w:r>
        <w:rPr>
          <w:rFonts w:hint="eastAsia" w:ascii="Times New Roman"/>
          <w:lang w:val="en-US" w:eastAsia="zh-CN"/>
        </w:rPr>
        <w:t>油菜</w:t>
      </w:r>
      <w:r>
        <w:rPr>
          <w:rFonts w:ascii="Times New Roman"/>
        </w:rPr>
        <w:t>生产全程质量控制技术规范</w:t>
      </w:r>
      <w:bookmarkEnd w:id="24"/>
    </w:p>
    <w:p>
      <w:pPr>
        <w:pStyle w:val="54"/>
        <w:spacing w:before="156" w:beforeLines="50" w:after="0" w:afterLines="0" w:line="360" w:lineRule="auto"/>
        <w:outlineLvl w:val="0"/>
        <w:rPr>
          <w:rFonts w:ascii="Times New Roman"/>
        </w:rPr>
      </w:pPr>
      <w:bookmarkStart w:id="25" w:name="_Toc18453"/>
      <w:r>
        <w:rPr>
          <w:rFonts w:ascii="Times New Roman"/>
        </w:rPr>
        <w:t>范围</w:t>
      </w:r>
      <w:bookmarkEnd w:id="25"/>
    </w:p>
    <w:p>
      <w:pPr>
        <w:pStyle w:val="25"/>
        <w:spacing w:before="156" w:beforeLines="50" w:after="156" w:afterLines="50"/>
        <w:rPr>
          <w:rFonts w:ascii="Times New Roman"/>
          <w:highlight w:val="none"/>
        </w:rPr>
      </w:pPr>
      <w:r>
        <w:rPr>
          <w:rFonts w:ascii="Times New Roman"/>
        </w:rPr>
        <w:t>本文件规定了</w:t>
      </w:r>
      <w:r>
        <w:rPr>
          <w:rFonts w:hint="eastAsia" w:ascii="Times New Roman"/>
          <w:lang w:val="en-US" w:eastAsia="zh-CN"/>
        </w:rPr>
        <w:t>油菜</w:t>
      </w:r>
      <w:r>
        <w:rPr>
          <w:rFonts w:hint="eastAsia" w:ascii="Times New Roman"/>
        </w:rPr>
        <w:t>生产的</w:t>
      </w:r>
      <w:r>
        <w:rPr>
          <w:rFonts w:ascii="Times New Roman"/>
        </w:rPr>
        <w:t>技术</w:t>
      </w:r>
      <w:r>
        <w:rPr>
          <w:rFonts w:hint="eastAsia" w:ascii="Times New Roman"/>
        </w:rPr>
        <w:t>要求</w:t>
      </w:r>
      <w:r>
        <w:rPr>
          <w:rFonts w:ascii="Times New Roman"/>
        </w:rPr>
        <w:t>、质量</w:t>
      </w:r>
      <w:r>
        <w:rPr>
          <w:rFonts w:hint="eastAsia" w:ascii="Times New Roman"/>
          <w:lang w:val="en-US" w:eastAsia="zh-CN"/>
        </w:rPr>
        <w:t>控制以及</w:t>
      </w:r>
      <w:r>
        <w:rPr>
          <w:rFonts w:ascii="Times New Roman"/>
        </w:rPr>
        <w:t>废弃物处置等全程质量控</w:t>
      </w:r>
      <w:r>
        <w:rPr>
          <w:rFonts w:ascii="Times New Roman"/>
          <w:highlight w:val="none"/>
        </w:rPr>
        <w:t>制要求。</w:t>
      </w:r>
    </w:p>
    <w:p>
      <w:pPr>
        <w:pStyle w:val="25"/>
        <w:spacing w:before="156" w:beforeLines="50" w:after="156" w:afterLines="50"/>
        <w:rPr>
          <w:rFonts w:ascii="Times New Roman"/>
          <w:highlight w:val="none"/>
        </w:rPr>
      </w:pPr>
      <w:r>
        <w:rPr>
          <w:rFonts w:ascii="Times New Roman"/>
          <w:highlight w:val="none"/>
        </w:rPr>
        <w:t>本文件适用于</w:t>
      </w:r>
      <w:r>
        <w:rPr>
          <w:rFonts w:hint="eastAsia" w:ascii="Times New Roman"/>
          <w:highlight w:val="none"/>
          <w:lang w:val="en-US" w:eastAsia="zh-CN"/>
        </w:rPr>
        <w:t>油菜</w:t>
      </w:r>
      <w:r>
        <w:rPr>
          <w:rFonts w:ascii="Times New Roman"/>
          <w:highlight w:val="none"/>
        </w:rPr>
        <w:t>生产</w:t>
      </w:r>
      <w:r>
        <w:rPr>
          <w:rFonts w:hint="eastAsia" w:ascii="Times New Roman"/>
          <w:highlight w:val="none"/>
          <w:lang w:val="en-US" w:eastAsia="zh-CN"/>
        </w:rPr>
        <w:t>的全程质量控制</w:t>
      </w:r>
      <w:r>
        <w:rPr>
          <w:rFonts w:ascii="Times New Roman"/>
          <w:highlight w:val="none"/>
        </w:rPr>
        <w:t>。</w:t>
      </w:r>
    </w:p>
    <w:p>
      <w:pPr>
        <w:pStyle w:val="54"/>
        <w:spacing w:before="156" w:beforeLines="50" w:after="0" w:afterLines="0" w:line="360" w:lineRule="auto"/>
        <w:outlineLvl w:val="0"/>
        <w:rPr>
          <w:rFonts w:ascii="Times New Roman"/>
          <w:highlight w:val="none"/>
        </w:rPr>
      </w:pPr>
      <w:bookmarkStart w:id="26" w:name="_Toc4634"/>
      <w:r>
        <w:rPr>
          <w:rFonts w:ascii="Times New Roman"/>
          <w:highlight w:val="none"/>
        </w:rPr>
        <w:t>规范性引用文件</w:t>
      </w:r>
      <w:bookmarkEnd w:id="26"/>
    </w:p>
    <w:p>
      <w:pPr>
        <w:pStyle w:val="25"/>
        <w:spacing w:before="156" w:beforeLines="50" w:after="156" w:afterLines="50"/>
        <w:rPr>
          <w:rFonts w:ascii="Times New Roman"/>
          <w:highlight w:val="none"/>
        </w:rPr>
      </w:pPr>
      <w:r>
        <w:rPr>
          <w:rFonts w:ascii="Times New Roman"/>
          <w:highlight w:val="none"/>
        </w:rPr>
        <w:t>下列文件中的内容通过文中的规范性引用而构成本文件必不可少的条款。其中，注日期的引用文件，仅该日期对应的版本适用于本文件；不注日期的引用文件，其最新版本（包括所有的修改单）适用于本文件。</w:t>
      </w:r>
    </w:p>
    <w:p>
      <w:pPr>
        <w:pStyle w:val="25"/>
        <w:tabs>
          <w:tab w:val="left" w:pos="576"/>
        </w:tabs>
        <w:spacing w:before="156" w:beforeLines="50"/>
        <w:rPr>
          <w:rFonts w:hint="eastAsia" w:ascii="Times New Roman"/>
          <w:kern w:val="2"/>
          <w:szCs w:val="21"/>
          <w:highlight w:val="none"/>
          <w:lang w:val="en-US" w:eastAsia="zh-CN"/>
        </w:rPr>
      </w:pPr>
      <w:r>
        <w:rPr>
          <w:rFonts w:ascii="Times New Roman"/>
          <w:kern w:val="2"/>
          <w:szCs w:val="21"/>
          <w:highlight w:val="none"/>
        </w:rPr>
        <w:t xml:space="preserve">GB/T </w:t>
      </w:r>
      <w:r>
        <w:rPr>
          <w:rFonts w:hint="eastAsia" w:ascii="Times New Roman"/>
          <w:kern w:val="2"/>
          <w:szCs w:val="21"/>
          <w:highlight w:val="none"/>
          <w:lang w:val="en-US" w:eastAsia="zh-CN"/>
        </w:rPr>
        <w:t>1536</w:t>
      </w:r>
      <w:r>
        <w:rPr>
          <w:rFonts w:ascii="Times New Roman"/>
          <w:kern w:val="2"/>
          <w:szCs w:val="21"/>
          <w:highlight w:val="none"/>
        </w:rPr>
        <w:t xml:space="preserve">  </w:t>
      </w:r>
      <w:r>
        <w:rPr>
          <w:rFonts w:hint="eastAsia" w:ascii="Times New Roman"/>
          <w:kern w:val="2"/>
          <w:szCs w:val="21"/>
          <w:highlight w:val="none"/>
          <w:lang w:val="en-US" w:eastAsia="zh-CN"/>
        </w:rPr>
        <w:t>菜籽油</w:t>
      </w:r>
    </w:p>
    <w:p>
      <w:pPr>
        <w:pStyle w:val="25"/>
        <w:tabs>
          <w:tab w:val="left" w:pos="576"/>
        </w:tabs>
        <w:spacing w:before="156" w:beforeLines="50"/>
        <w:rPr>
          <w:rFonts w:hint="eastAsia" w:ascii="Times New Roman"/>
          <w:kern w:val="2"/>
          <w:szCs w:val="21"/>
          <w:highlight w:val="none"/>
          <w:lang w:val="en-US" w:eastAsia="zh-CN"/>
        </w:rPr>
      </w:pPr>
      <w:r>
        <w:rPr>
          <w:rFonts w:hint="eastAsia" w:ascii="Times New Roman"/>
          <w:kern w:val="2"/>
          <w:szCs w:val="21"/>
          <w:highlight w:val="none"/>
          <w:lang w:val="en-US" w:eastAsia="zh-CN"/>
        </w:rPr>
        <w:t>GB 2716  食品安全国家标准 植物油</w:t>
      </w:r>
    </w:p>
    <w:p>
      <w:pPr>
        <w:spacing w:before="156" w:beforeLines="50"/>
        <w:ind w:firstLine="420" w:firstLineChars="200"/>
        <w:rPr>
          <w:rFonts w:hint="default" w:eastAsia="宋体"/>
          <w:szCs w:val="21"/>
          <w:highlight w:val="none"/>
          <w:lang w:val="en-US" w:eastAsia="zh-CN"/>
        </w:rPr>
      </w:pPr>
      <w:r>
        <w:rPr>
          <w:szCs w:val="21"/>
          <w:highlight w:val="none"/>
        </w:rPr>
        <w:t>GB 440</w:t>
      </w:r>
      <w:r>
        <w:rPr>
          <w:rFonts w:hint="eastAsia"/>
          <w:szCs w:val="21"/>
          <w:highlight w:val="none"/>
          <w:lang w:val="en-US" w:eastAsia="zh-CN"/>
        </w:rPr>
        <w:t>7</w:t>
      </w:r>
      <w:r>
        <w:rPr>
          <w:szCs w:val="21"/>
          <w:highlight w:val="none"/>
        </w:rPr>
        <w:t>.</w:t>
      </w:r>
      <w:r>
        <w:rPr>
          <w:rFonts w:hint="eastAsia"/>
          <w:szCs w:val="21"/>
          <w:highlight w:val="none"/>
          <w:lang w:val="en-US" w:eastAsia="zh-CN"/>
        </w:rPr>
        <w:t>2</w:t>
      </w:r>
      <w:r>
        <w:rPr>
          <w:szCs w:val="21"/>
          <w:highlight w:val="none"/>
        </w:rPr>
        <w:t xml:space="preserve">  </w:t>
      </w:r>
      <w:r>
        <w:rPr>
          <w:rFonts w:hint="eastAsia"/>
          <w:szCs w:val="21"/>
          <w:highlight w:val="none"/>
          <w:lang w:val="en-US" w:eastAsia="zh-CN"/>
        </w:rPr>
        <w:t>经济</w:t>
      </w:r>
      <w:r>
        <w:rPr>
          <w:szCs w:val="21"/>
          <w:highlight w:val="none"/>
        </w:rPr>
        <w:t>作物种子 第</w:t>
      </w:r>
      <w:r>
        <w:rPr>
          <w:rFonts w:hint="eastAsia"/>
          <w:szCs w:val="21"/>
          <w:highlight w:val="none"/>
          <w:lang w:val="en-US" w:eastAsia="zh-CN"/>
        </w:rPr>
        <w:t>2</w:t>
      </w:r>
      <w:r>
        <w:rPr>
          <w:szCs w:val="21"/>
          <w:highlight w:val="none"/>
        </w:rPr>
        <w:t>部分：</w:t>
      </w:r>
      <w:r>
        <w:rPr>
          <w:rFonts w:hint="eastAsia"/>
          <w:szCs w:val="21"/>
          <w:highlight w:val="none"/>
          <w:lang w:val="en-US" w:eastAsia="zh-CN"/>
        </w:rPr>
        <w:t>油料类</w:t>
      </w:r>
    </w:p>
    <w:p>
      <w:pPr>
        <w:spacing w:before="156" w:beforeLines="50"/>
        <w:ind w:firstLine="420" w:firstLineChars="200"/>
        <w:rPr>
          <w:rFonts w:hint="eastAsia"/>
          <w:szCs w:val="21"/>
          <w:highlight w:val="none"/>
        </w:rPr>
      </w:pPr>
      <w:r>
        <w:rPr>
          <w:szCs w:val="21"/>
          <w:highlight w:val="none"/>
        </w:rPr>
        <w:t>GB 7718  食品安全国家标准 预包装食品标签通则</w:t>
      </w:r>
    </w:p>
    <w:p>
      <w:pPr>
        <w:spacing w:before="156" w:beforeLines="50"/>
        <w:ind w:firstLine="420" w:firstLineChars="200"/>
        <w:rPr>
          <w:szCs w:val="21"/>
          <w:highlight w:val="none"/>
        </w:rPr>
      </w:pPr>
      <w:r>
        <w:rPr>
          <w:szCs w:val="21"/>
          <w:highlight w:val="none"/>
        </w:rPr>
        <w:t>GB/T 8321</w:t>
      </w:r>
      <w:r>
        <w:rPr>
          <w:rFonts w:hint="eastAsia"/>
          <w:szCs w:val="21"/>
          <w:highlight w:val="none"/>
        </w:rPr>
        <w:t>（所有部分）</w:t>
      </w:r>
      <w:r>
        <w:rPr>
          <w:szCs w:val="21"/>
          <w:highlight w:val="none"/>
        </w:rPr>
        <w:t xml:space="preserve">  农药合理使用准则</w:t>
      </w:r>
    </w:p>
    <w:p>
      <w:pPr>
        <w:spacing w:before="156" w:beforeLines="50"/>
        <w:ind w:firstLine="420" w:firstLineChars="200"/>
        <w:rPr>
          <w:szCs w:val="21"/>
          <w:highlight w:val="none"/>
        </w:rPr>
      </w:pPr>
      <w:r>
        <w:rPr>
          <w:rFonts w:hint="eastAsia"/>
          <w:szCs w:val="21"/>
          <w:highlight w:val="none"/>
        </w:rPr>
        <w:t>GB 8955</w:t>
      </w:r>
      <w:r>
        <w:rPr>
          <w:rFonts w:hint="eastAsia"/>
          <w:szCs w:val="21"/>
          <w:highlight w:val="none"/>
          <w:lang w:val="en-US" w:eastAsia="zh-CN"/>
        </w:rPr>
        <w:t xml:space="preserve">  </w:t>
      </w:r>
      <w:r>
        <w:rPr>
          <w:rFonts w:hint="eastAsia"/>
          <w:szCs w:val="21"/>
          <w:highlight w:val="none"/>
        </w:rPr>
        <w:t>食品安全国家标准 食用植物油及其制品生产卫生规范</w:t>
      </w:r>
    </w:p>
    <w:p>
      <w:pPr>
        <w:pStyle w:val="25"/>
        <w:tabs>
          <w:tab w:val="left" w:pos="576"/>
        </w:tabs>
        <w:spacing w:before="156" w:beforeLines="50"/>
        <w:rPr>
          <w:rFonts w:hint="default" w:ascii="Times New Roman"/>
          <w:kern w:val="2"/>
          <w:szCs w:val="21"/>
          <w:highlight w:val="none"/>
          <w:lang w:val="en-US" w:eastAsia="zh-CN"/>
        </w:rPr>
      </w:pPr>
      <w:r>
        <w:rPr>
          <w:rFonts w:hint="eastAsia" w:ascii="Times New Roman"/>
          <w:kern w:val="2"/>
          <w:szCs w:val="21"/>
          <w:highlight w:val="none"/>
          <w:lang w:val="en-US" w:eastAsia="zh-CN"/>
        </w:rPr>
        <w:t>GB/T 11762  油菜籽</w:t>
      </w:r>
    </w:p>
    <w:p>
      <w:pPr>
        <w:spacing w:before="156" w:beforeLines="50"/>
        <w:ind w:firstLine="420" w:firstLineChars="200"/>
        <w:rPr>
          <w:szCs w:val="21"/>
          <w:highlight w:val="none"/>
        </w:rPr>
      </w:pPr>
      <w:r>
        <w:rPr>
          <w:szCs w:val="21"/>
          <w:highlight w:val="none"/>
        </w:rPr>
        <w:t>GB 12475  农药储运、销售和使用的防毒规程</w:t>
      </w:r>
    </w:p>
    <w:p>
      <w:pPr>
        <w:pStyle w:val="25"/>
        <w:tabs>
          <w:tab w:val="left" w:pos="576"/>
        </w:tabs>
        <w:spacing w:before="156" w:beforeLines="50"/>
        <w:rPr>
          <w:rFonts w:ascii="Times New Roman"/>
          <w:szCs w:val="21"/>
          <w:highlight w:val="none"/>
        </w:rPr>
      </w:pPr>
      <w:r>
        <w:rPr>
          <w:rFonts w:hint="eastAsia" w:ascii="Times New Roman"/>
          <w:szCs w:val="21"/>
          <w:highlight w:val="none"/>
        </w:rPr>
        <w:t>GB</w:t>
      </w:r>
      <w:r>
        <w:rPr>
          <w:rFonts w:hint="eastAsia" w:ascii="Times New Roman"/>
          <w:szCs w:val="21"/>
          <w:highlight w:val="none"/>
          <w:lang w:val="en-US" w:eastAsia="zh-CN"/>
        </w:rPr>
        <w:t>/</w:t>
      </w:r>
      <w:r>
        <w:rPr>
          <w:rFonts w:hint="eastAsia" w:ascii="Times New Roman"/>
          <w:szCs w:val="21"/>
          <w:highlight w:val="none"/>
        </w:rPr>
        <w:t>T 17374</w:t>
      </w:r>
      <w:r>
        <w:rPr>
          <w:rFonts w:hint="eastAsia" w:ascii="Times New Roman"/>
          <w:szCs w:val="21"/>
          <w:highlight w:val="none"/>
          <w:lang w:val="en-US" w:eastAsia="zh-CN"/>
        </w:rPr>
        <w:t xml:space="preserve">  </w:t>
      </w:r>
      <w:r>
        <w:rPr>
          <w:rFonts w:hint="eastAsia" w:ascii="Times New Roman"/>
          <w:szCs w:val="21"/>
          <w:highlight w:val="none"/>
        </w:rPr>
        <w:t>食用植物油销售包装</w:t>
      </w:r>
    </w:p>
    <w:p>
      <w:pPr>
        <w:pStyle w:val="25"/>
        <w:tabs>
          <w:tab w:val="left" w:pos="576"/>
        </w:tabs>
        <w:spacing w:before="156" w:beforeLines="50"/>
        <w:rPr>
          <w:rFonts w:ascii="Times New Roman"/>
          <w:szCs w:val="21"/>
          <w:highlight w:val="none"/>
        </w:rPr>
      </w:pPr>
      <w:r>
        <w:rPr>
          <w:rFonts w:ascii="Times New Roman"/>
          <w:szCs w:val="21"/>
          <w:highlight w:val="none"/>
        </w:rPr>
        <w:t xml:space="preserve">GB </w:t>
      </w:r>
      <w:r>
        <w:rPr>
          <w:rFonts w:hint="eastAsia" w:ascii="Times New Roman"/>
          <w:szCs w:val="21"/>
          <w:highlight w:val="none"/>
        </w:rPr>
        <w:t>19641</w:t>
      </w:r>
      <w:r>
        <w:rPr>
          <w:rFonts w:ascii="Times New Roman"/>
          <w:szCs w:val="21"/>
          <w:highlight w:val="none"/>
        </w:rPr>
        <w:t xml:space="preserve">  </w:t>
      </w:r>
      <w:r>
        <w:rPr>
          <w:rFonts w:hint="eastAsia" w:ascii="Times New Roman"/>
          <w:szCs w:val="21"/>
          <w:highlight w:val="none"/>
        </w:rPr>
        <w:t>食品安全国家标准 食用植物油料</w:t>
      </w:r>
    </w:p>
    <w:p>
      <w:pPr>
        <w:spacing w:before="156" w:beforeLines="50"/>
        <w:ind w:firstLine="420" w:firstLineChars="200"/>
        <w:rPr>
          <w:szCs w:val="21"/>
          <w:highlight w:val="none"/>
        </w:rPr>
      </w:pPr>
      <w:r>
        <w:rPr>
          <w:szCs w:val="21"/>
          <w:highlight w:val="none"/>
        </w:rPr>
        <w:t>GB/T 30102  塑料 塑料废弃物的回收和再循环指南</w:t>
      </w:r>
    </w:p>
    <w:p>
      <w:pPr>
        <w:spacing w:before="156" w:beforeLines="50"/>
        <w:ind w:firstLine="420" w:firstLineChars="200"/>
        <w:rPr>
          <w:szCs w:val="21"/>
          <w:highlight w:val="none"/>
        </w:rPr>
      </w:pPr>
      <w:r>
        <w:rPr>
          <w:szCs w:val="21"/>
          <w:highlight w:val="none"/>
        </w:rPr>
        <w:t>NY/T 496  肥料合理使用准则 通则</w:t>
      </w:r>
    </w:p>
    <w:p>
      <w:pPr>
        <w:spacing w:before="156" w:beforeLines="50"/>
        <w:ind w:firstLine="420" w:firstLineChars="200"/>
        <w:rPr>
          <w:rFonts w:hint="eastAsia"/>
          <w:szCs w:val="21"/>
          <w:highlight w:val="none"/>
          <w:lang w:val="en-US" w:eastAsia="zh-CN"/>
        </w:rPr>
      </w:pPr>
      <w:r>
        <w:rPr>
          <w:rFonts w:hint="eastAsia"/>
          <w:szCs w:val="21"/>
          <w:highlight w:val="none"/>
          <w:lang w:val="en-US" w:eastAsia="zh-CN"/>
        </w:rPr>
        <w:t>NY/T 846  油菜产地环境技术条件</w:t>
      </w:r>
    </w:p>
    <w:p>
      <w:pPr>
        <w:spacing w:before="156" w:beforeLines="50"/>
        <w:ind w:firstLine="420" w:firstLineChars="200"/>
        <w:rPr>
          <w:rFonts w:hint="default"/>
          <w:szCs w:val="21"/>
          <w:highlight w:val="none"/>
          <w:lang w:val="en-US" w:eastAsia="zh-CN"/>
        </w:rPr>
      </w:pPr>
      <w:r>
        <w:rPr>
          <w:rFonts w:hint="eastAsia"/>
          <w:highlight w:val="none"/>
          <w:lang w:val="en-US" w:eastAsia="zh-CN"/>
        </w:rPr>
        <w:t>NY/T 1087  油菜籽干燥与储藏技术规程</w:t>
      </w:r>
    </w:p>
    <w:p>
      <w:pPr>
        <w:spacing w:before="156" w:beforeLines="50"/>
        <w:ind w:firstLine="420" w:firstLineChars="200"/>
        <w:rPr>
          <w:szCs w:val="21"/>
          <w:highlight w:val="none"/>
        </w:rPr>
      </w:pPr>
      <w:r>
        <w:rPr>
          <w:szCs w:val="21"/>
          <w:highlight w:val="none"/>
        </w:rPr>
        <w:t>NY/T 1105  肥料合理使用准则 氮肥</w:t>
      </w:r>
    </w:p>
    <w:p>
      <w:pPr>
        <w:spacing w:before="156" w:beforeLines="50"/>
        <w:ind w:firstLine="420" w:firstLineChars="200"/>
        <w:rPr>
          <w:szCs w:val="21"/>
          <w:highlight w:val="none"/>
        </w:rPr>
      </w:pPr>
      <w:r>
        <w:rPr>
          <w:szCs w:val="21"/>
          <w:highlight w:val="none"/>
        </w:rPr>
        <w:t>NY/T 1276  农药安全使用规范 总则</w:t>
      </w:r>
    </w:p>
    <w:p>
      <w:pPr>
        <w:spacing w:before="156" w:beforeLines="50"/>
        <w:ind w:firstLine="420" w:firstLineChars="200"/>
        <w:rPr>
          <w:szCs w:val="21"/>
          <w:highlight w:val="none"/>
        </w:rPr>
      </w:pPr>
      <w:r>
        <w:rPr>
          <w:szCs w:val="21"/>
          <w:highlight w:val="none"/>
        </w:rPr>
        <w:t>NY/T 1535  肥料合理使用准则 微生物肥料</w:t>
      </w:r>
    </w:p>
    <w:p>
      <w:pPr>
        <w:spacing w:before="156" w:beforeLines="50"/>
        <w:ind w:firstLine="420" w:firstLineChars="200"/>
        <w:rPr>
          <w:szCs w:val="21"/>
          <w:highlight w:val="none"/>
        </w:rPr>
      </w:pPr>
      <w:r>
        <w:rPr>
          <w:szCs w:val="21"/>
          <w:highlight w:val="none"/>
        </w:rPr>
        <w:t>NY/T 1868  肥料合理使用准则 有机肥料</w:t>
      </w:r>
    </w:p>
    <w:p>
      <w:pPr>
        <w:spacing w:before="156" w:beforeLines="50"/>
        <w:ind w:firstLine="420" w:firstLineChars="200"/>
        <w:rPr>
          <w:szCs w:val="21"/>
          <w:highlight w:val="none"/>
        </w:rPr>
      </w:pPr>
      <w:r>
        <w:rPr>
          <w:szCs w:val="21"/>
          <w:highlight w:val="none"/>
        </w:rPr>
        <w:t>NY/T 1869  肥料合理使用准则 钾肥</w:t>
      </w:r>
    </w:p>
    <w:p>
      <w:pPr>
        <w:spacing w:before="156" w:beforeLines="50"/>
        <w:ind w:firstLine="420" w:firstLineChars="200"/>
        <w:rPr>
          <w:rFonts w:hint="default" w:eastAsia="宋体"/>
          <w:szCs w:val="21"/>
          <w:highlight w:val="none"/>
          <w:lang w:val="en-US" w:eastAsia="zh-CN"/>
        </w:rPr>
      </w:pPr>
      <w:r>
        <w:rPr>
          <w:szCs w:val="21"/>
          <w:highlight w:val="none"/>
        </w:rPr>
        <w:t xml:space="preserve">NY/T </w:t>
      </w:r>
      <w:r>
        <w:rPr>
          <w:rFonts w:hint="eastAsia"/>
          <w:szCs w:val="21"/>
          <w:highlight w:val="none"/>
          <w:lang w:val="en-US" w:eastAsia="zh-CN"/>
        </w:rPr>
        <w:t>2199</w:t>
      </w:r>
      <w:r>
        <w:rPr>
          <w:szCs w:val="21"/>
          <w:highlight w:val="none"/>
        </w:rPr>
        <w:t xml:space="preserve">  </w:t>
      </w:r>
      <w:r>
        <w:rPr>
          <w:rFonts w:hint="eastAsia"/>
          <w:szCs w:val="21"/>
          <w:highlight w:val="none"/>
          <w:lang w:val="en-US" w:eastAsia="zh-CN"/>
        </w:rPr>
        <w:t>油菜</w:t>
      </w:r>
      <w:r>
        <w:rPr>
          <w:szCs w:val="21"/>
          <w:highlight w:val="none"/>
        </w:rPr>
        <w:t>联合收</w:t>
      </w:r>
      <w:r>
        <w:rPr>
          <w:rFonts w:hint="eastAsia"/>
          <w:szCs w:val="21"/>
          <w:highlight w:val="none"/>
          <w:lang w:val="en-US" w:eastAsia="zh-CN"/>
        </w:rPr>
        <w:t>割</w:t>
      </w:r>
      <w:r>
        <w:rPr>
          <w:szCs w:val="21"/>
          <w:highlight w:val="none"/>
        </w:rPr>
        <w:t xml:space="preserve">机 </w:t>
      </w:r>
      <w:r>
        <w:rPr>
          <w:rFonts w:hint="eastAsia"/>
          <w:szCs w:val="21"/>
          <w:highlight w:val="none"/>
          <w:lang w:val="en-US" w:eastAsia="zh-CN"/>
        </w:rPr>
        <w:t>作业质量</w:t>
      </w:r>
    </w:p>
    <w:p>
      <w:pPr>
        <w:spacing w:before="156" w:beforeLines="50"/>
        <w:ind w:firstLine="420" w:firstLineChars="200"/>
        <w:rPr>
          <w:rFonts w:hint="default"/>
          <w:kern w:val="0"/>
          <w:szCs w:val="21"/>
          <w:highlight w:val="none"/>
          <w:lang w:val="en-US" w:eastAsia="zh-CN"/>
        </w:rPr>
      </w:pPr>
      <w:r>
        <w:rPr>
          <w:rFonts w:hint="eastAsia"/>
          <w:kern w:val="0"/>
          <w:szCs w:val="21"/>
          <w:highlight w:val="none"/>
          <w:lang w:val="en-US" w:eastAsia="zh-CN"/>
        </w:rPr>
        <w:t>NY/T 2709  油菜播种机作业质量</w:t>
      </w:r>
    </w:p>
    <w:p>
      <w:pPr>
        <w:spacing w:before="156" w:beforeLines="50"/>
        <w:ind w:firstLine="420" w:firstLineChars="200"/>
        <w:rPr>
          <w:rFonts w:hint="default"/>
          <w:szCs w:val="21"/>
          <w:highlight w:val="none"/>
          <w:lang w:val="en-US"/>
        </w:rPr>
      </w:pPr>
      <w:r>
        <w:rPr>
          <w:rFonts w:hint="eastAsia"/>
          <w:kern w:val="0"/>
          <w:szCs w:val="21"/>
          <w:highlight w:val="none"/>
          <w:lang w:val="en-US" w:eastAsia="zh-CN"/>
        </w:rPr>
        <w:t>NY/T 3887  油菜毯状苗移栽机 作业质量</w:t>
      </w:r>
    </w:p>
    <w:p>
      <w:pPr>
        <w:spacing w:before="156" w:beforeLines="50"/>
        <w:ind w:firstLine="420" w:firstLineChars="200"/>
        <w:rPr>
          <w:szCs w:val="21"/>
          <w:highlight w:val="none"/>
        </w:rPr>
      </w:pPr>
      <w:r>
        <w:rPr>
          <w:szCs w:val="21"/>
          <w:highlight w:val="none"/>
        </w:rPr>
        <w:t>GH/T 1355  包装废弃物回收、</w:t>
      </w:r>
      <w:r>
        <w:rPr>
          <w:rFonts w:hint="eastAsia"/>
          <w:szCs w:val="21"/>
          <w:highlight w:val="none"/>
          <w:lang w:val="en-US" w:eastAsia="zh-CN"/>
        </w:rPr>
        <w:t>贮</w:t>
      </w:r>
      <w:r>
        <w:rPr>
          <w:szCs w:val="21"/>
          <w:highlight w:val="none"/>
        </w:rPr>
        <w:t>存与运输技术规范</w:t>
      </w:r>
    </w:p>
    <w:p>
      <w:pPr>
        <w:spacing w:before="156" w:beforeLines="50"/>
        <w:ind w:firstLine="420" w:firstLineChars="200"/>
        <w:rPr>
          <w:szCs w:val="21"/>
          <w:highlight w:val="none"/>
        </w:rPr>
      </w:pPr>
      <w:r>
        <w:rPr>
          <w:highlight w:val="none"/>
        </w:rPr>
        <w:t>GH/T 1354  废旧地膜回收技术规范</w:t>
      </w:r>
    </w:p>
    <w:p>
      <w:pPr>
        <w:pStyle w:val="54"/>
        <w:spacing w:before="156" w:beforeLines="50" w:after="0" w:afterLines="0" w:line="360" w:lineRule="auto"/>
        <w:outlineLvl w:val="0"/>
        <w:rPr>
          <w:rFonts w:ascii="Times New Roman"/>
          <w:highlight w:val="none"/>
        </w:rPr>
      </w:pPr>
      <w:bookmarkStart w:id="27" w:name="_Toc23122"/>
      <w:r>
        <w:rPr>
          <w:rFonts w:ascii="Times New Roman"/>
          <w:highlight w:val="none"/>
        </w:rPr>
        <w:t>术语和定义</w:t>
      </w:r>
      <w:bookmarkEnd w:id="27"/>
    </w:p>
    <w:p>
      <w:pPr>
        <w:pStyle w:val="25"/>
        <w:spacing w:before="156" w:beforeLines="50" w:line="360" w:lineRule="auto"/>
        <w:rPr>
          <w:rFonts w:ascii="Times New Roman"/>
          <w:highlight w:val="none"/>
        </w:rPr>
      </w:pPr>
      <w:r>
        <w:rPr>
          <w:rFonts w:ascii="Times New Roman"/>
          <w:highlight w:val="none"/>
        </w:rPr>
        <w:t>本文件没有需要界定的术语和定义。</w:t>
      </w:r>
    </w:p>
    <w:p>
      <w:pPr>
        <w:widowControl/>
        <w:numPr>
          <w:ilvl w:val="0"/>
          <w:numId w:val="0"/>
        </w:numPr>
        <w:tabs>
          <w:tab w:val="left" w:pos="360"/>
        </w:tabs>
        <w:spacing w:before="156" w:beforeLines="50" w:line="360" w:lineRule="auto"/>
        <w:outlineLvl w:val="0"/>
        <w:rPr>
          <w:rFonts w:hint="eastAsia" w:eastAsia="黑体"/>
          <w:kern w:val="0"/>
          <w:szCs w:val="21"/>
          <w:highlight w:val="none"/>
          <w:lang w:val="en-US" w:eastAsia="zh-CN"/>
        </w:rPr>
      </w:pPr>
      <w:bookmarkStart w:id="28" w:name="_Toc13959"/>
      <w:r>
        <w:rPr>
          <w:rFonts w:hint="eastAsia" w:ascii="黑体" w:hAnsi="黑体" w:eastAsia="黑体" w:cs="黑体"/>
          <w:kern w:val="0"/>
          <w:szCs w:val="21"/>
          <w:highlight w:val="none"/>
          <w:lang w:val="en-US" w:eastAsia="zh-CN"/>
        </w:rPr>
        <w:t xml:space="preserve">4 </w:t>
      </w:r>
      <w:r>
        <w:rPr>
          <w:rFonts w:hint="eastAsia" w:eastAsia="黑体"/>
          <w:kern w:val="0"/>
          <w:szCs w:val="21"/>
          <w:highlight w:val="none"/>
          <w:lang w:val="en-US" w:eastAsia="zh-CN"/>
        </w:rPr>
        <w:t xml:space="preserve"> </w:t>
      </w:r>
      <w:r>
        <w:rPr>
          <w:rFonts w:hint="eastAsia" w:eastAsia="黑体"/>
          <w:kern w:val="0"/>
          <w:szCs w:val="21"/>
          <w:highlight w:val="none"/>
        </w:rPr>
        <w:t>质量</w:t>
      </w:r>
      <w:r>
        <w:rPr>
          <w:rFonts w:hint="eastAsia" w:eastAsia="黑体"/>
          <w:kern w:val="0"/>
          <w:szCs w:val="21"/>
          <w:highlight w:val="none"/>
          <w:lang w:val="en-US" w:eastAsia="zh-CN"/>
        </w:rPr>
        <w:t>体系建设</w:t>
      </w:r>
      <w:bookmarkEnd w:id="28"/>
    </w:p>
    <w:p>
      <w:pPr>
        <w:pStyle w:val="13"/>
        <w:spacing w:before="156" w:beforeLines="50"/>
        <w:ind w:firstLine="0"/>
        <w:rPr>
          <w:rFonts w:hint="eastAsia" w:ascii="Times New Roman" w:hAnsi="Times New Roman"/>
          <w:szCs w:val="21"/>
          <w:highlight w:val="none"/>
          <w:lang w:val="en-US" w:eastAsia="zh-CN"/>
        </w:rPr>
      </w:pPr>
      <w:r>
        <w:rPr>
          <w:rFonts w:hint="eastAsia" w:ascii="黑体" w:hAnsi="黑体" w:eastAsia="黑体" w:cs="黑体"/>
          <w:b w:val="0"/>
          <w:bCs w:val="0"/>
          <w:szCs w:val="21"/>
          <w:highlight w:val="none"/>
          <w:lang w:val="en-US" w:eastAsia="zh-CN"/>
        </w:rPr>
        <w:t>4.1</w:t>
      </w:r>
      <w:r>
        <w:rPr>
          <w:rFonts w:ascii="Times New Roman" w:hAnsi="Times New Roman"/>
          <w:szCs w:val="21"/>
          <w:highlight w:val="none"/>
        </w:rPr>
        <w:t xml:space="preserve">  </w:t>
      </w:r>
      <w:r>
        <w:rPr>
          <w:rFonts w:hint="eastAsia" w:ascii="Times New Roman" w:hAnsi="Times New Roman" w:eastAsia="黑体" w:cs="Times New Roman"/>
          <w:b w:val="0"/>
          <w:bCs w:val="0"/>
          <w:kern w:val="0"/>
          <w:sz w:val="21"/>
          <w:szCs w:val="21"/>
          <w:highlight w:val="none"/>
          <w:lang w:val="en-US" w:eastAsia="zh-CN" w:bidi="ar-SA"/>
        </w:rPr>
        <w:t>质量安全管理体系</w:t>
      </w:r>
    </w:p>
    <w:p>
      <w:pPr>
        <w:pStyle w:val="13"/>
        <w:spacing w:before="156" w:beforeLines="50"/>
        <w:ind w:firstLine="630" w:firstLineChars="300"/>
        <w:rPr>
          <w:rFonts w:hint="default" w:ascii="Times New Roman" w:hAnsi="Times New Roman" w:eastAsia="宋体"/>
          <w:szCs w:val="21"/>
          <w:highlight w:val="none"/>
          <w:lang w:val="en-US" w:eastAsia="zh-CN"/>
        </w:rPr>
      </w:pPr>
      <w:r>
        <w:rPr>
          <w:rFonts w:hint="eastAsia" w:ascii="Times New Roman" w:hAnsi="Times New Roman"/>
          <w:szCs w:val="21"/>
          <w:highlight w:val="none"/>
          <w:lang w:val="en-US" w:eastAsia="zh-CN"/>
        </w:rPr>
        <w:t>应建立质量安全管理体系，文件体系包括质量安全管理制度、程序和作业指导书、生产档案等。</w:t>
      </w:r>
    </w:p>
    <w:p>
      <w:pPr>
        <w:pStyle w:val="13"/>
        <w:spacing w:before="156" w:beforeLines="50"/>
        <w:ind w:firstLine="0"/>
        <w:outlineLvl w:val="1"/>
        <w:rPr>
          <w:rFonts w:ascii="Times New Roman" w:eastAsia="宋体"/>
          <w:highlight w:val="none"/>
        </w:rPr>
      </w:pPr>
      <w:r>
        <w:rPr>
          <w:rFonts w:hint="eastAsia" w:ascii="黑体" w:hAnsi="黑体" w:eastAsia="黑体" w:cs="黑体"/>
          <w:b w:val="0"/>
          <w:bCs w:val="0"/>
          <w:szCs w:val="21"/>
          <w:highlight w:val="none"/>
          <w:lang w:val="en-US" w:eastAsia="zh-CN"/>
        </w:rPr>
        <w:t>4.2</w:t>
      </w:r>
      <w:r>
        <w:rPr>
          <w:rFonts w:ascii="Times New Roman" w:hAnsi="Times New Roman"/>
          <w:szCs w:val="21"/>
          <w:highlight w:val="none"/>
        </w:rPr>
        <w:t xml:space="preserve">  </w:t>
      </w:r>
      <w:r>
        <w:rPr>
          <w:rFonts w:hint="eastAsia" w:ascii="Times New Roman" w:hAnsi="Times New Roman" w:eastAsia="黑体" w:cs="Times New Roman"/>
          <w:b w:val="0"/>
          <w:bCs w:val="0"/>
          <w:kern w:val="0"/>
          <w:sz w:val="21"/>
          <w:szCs w:val="21"/>
          <w:highlight w:val="none"/>
          <w:lang w:val="en-US" w:eastAsia="zh-CN" w:bidi="ar-SA"/>
        </w:rPr>
        <w:t>质量安全制度和程序</w:t>
      </w:r>
    </w:p>
    <w:p>
      <w:pPr>
        <w:pStyle w:val="13"/>
        <w:spacing w:before="156" w:beforeLines="50"/>
        <w:ind w:firstLine="420" w:firstLineChars="200"/>
        <w:outlineLvl w:val="1"/>
        <w:rPr>
          <w:rFonts w:hint="eastAsia" w:ascii="Times New Roman" w:eastAsia="宋体"/>
          <w:highlight w:val="none"/>
          <w:lang w:eastAsia="zh-CN"/>
        </w:rPr>
      </w:pPr>
      <w:r>
        <w:rPr>
          <w:rFonts w:hint="eastAsia" w:ascii="Times New Roman" w:hAnsi="Times New Roman"/>
          <w:szCs w:val="21"/>
          <w:highlight w:val="none"/>
          <w:lang w:val="en-US" w:eastAsia="zh-CN"/>
        </w:rPr>
        <w:t>质量安全</w:t>
      </w:r>
      <w:r>
        <w:rPr>
          <w:rFonts w:ascii="Times New Roman" w:eastAsia="宋体"/>
          <w:highlight w:val="none"/>
        </w:rPr>
        <w:t>制度</w:t>
      </w:r>
      <w:r>
        <w:rPr>
          <w:rFonts w:hint="eastAsia" w:ascii="Times New Roman" w:eastAsia="宋体"/>
          <w:highlight w:val="none"/>
          <w:lang w:val="en-US" w:eastAsia="zh-CN"/>
        </w:rPr>
        <w:t>和</w:t>
      </w:r>
      <w:r>
        <w:rPr>
          <w:rFonts w:ascii="Times New Roman" w:eastAsia="宋体"/>
          <w:highlight w:val="none"/>
        </w:rPr>
        <w:t>程序</w:t>
      </w:r>
      <w:r>
        <w:rPr>
          <w:rFonts w:hint="eastAsia" w:ascii="Times New Roman" w:eastAsia="宋体"/>
          <w:highlight w:val="none"/>
        </w:rPr>
        <w:t>应</w:t>
      </w:r>
      <w:r>
        <w:rPr>
          <w:rFonts w:ascii="Times New Roman" w:eastAsia="宋体"/>
          <w:highlight w:val="none"/>
        </w:rPr>
        <w:t>包括但不限于</w:t>
      </w:r>
      <w:r>
        <w:rPr>
          <w:rFonts w:hint="eastAsia" w:ascii="Times New Roman" w:eastAsia="宋体"/>
          <w:highlight w:val="none"/>
          <w:lang w:eastAsia="zh-CN"/>
        </w:rPr>
        <w:t>：</w:t>
      </w:r>
    </w:p>
    <w:p>
      <w:pPr>
        <w:pStyle w:val="55"/>
        <w:numPr>
          <w:ilvl w:val="0"/>
          <w:numId w:val="0"/>
        </w:numPr>
        <w:spacing w:before="156" w:after="0" w:afterLines="0"/>
        <w:ind w:firstLine="420" w:firstLineChars="200"/>
        <w:jc w:val="both"/>
        <w:rPr>
          <w:rFonts w:ascii="Times New Roman" w:eastAsia="宋体"/>
          <w:szCs w:val="20"/>
          <w:highlight w:val="none"/>
        </w:rPr>
      </w:pPr>
      <w:r>
        <w:rPr>
          <w:rFonts w:ascii="Times New Roman" w:eastAsia="宋体"/>
          <w:szCs w:val="20"/>
          <w:highlight w:val="none"/>
        </w:rPr>
        <w:t>——生产基地全程质量控制管理制度（含文件和记录控制程序、内部</w:t>
      </w:r>
      <w:r>
        <w:rPr>
          <w:rFonts w:hint="eastAsia" w:ascii="Times New Roman" w:eastAsia="宋体"/>
          <w:szCs w:val="20"/>
          <w:highlight w:val="none"/>
        </w:rPr>
        <w:t>检查</w:t>
      </w:r>
      <w:r>
        <w:rPr>
          <w:rFonts w:ascii="Times New Roman" w:eastAsia="宋体"/>
          <w:szCs w:val="20"/>
          <w:highlight w:val="none"/>
        </w:rPr>
        <w:t>程序、卫生管理程序、紧急事故处理程序等）。</w:t>
      </w:r>
    </w:p>
    <w:p>
      <w:pPr>
        <w:pStyle w:val="55"/>
        <w:numPr>
          <w:ilvl w:val="0"/>
          <w:numId w:val="0"/>
        </w:numPr>
        <w:spacing w:before="156" w:after="0" w:afterLines="0"/>
        <w:ind w:firstLine="420" w:firstLineChars="200"/>
        <w:jc w:val="both"/>
        <w:rPr>
          <w:rFonts w:ascii="Times New Roman" w:eastAsia="宋体"/>
          <w:szCs w:val="20"/>
          <w:highlight w:val="none"/>
        </w:rPr>
      </w:pPr>
      <w:r>
        <w:rPr>
          <w:rFonts w:ascii="Times New Roman" w:eastAsia="宋体"/>
          <w:szCs w:val="20"/>
          <w:highlight w:val="none"/>
        </w:rPr>
        <w:t>——产地环境保护制度（含产地环境评价、监测与保护程序、废弃物</w:t>
      </w:r>
      <w:r>
        <w:rPr>
          <w:rFonts w:hint="eastAsia" w:ascii="Times New Roman" w:eastAsia="宋体"/>
          <w:szCs w:val="20"/>
          <w:highlight w:val="none"/>
        </w:rPr>
        <w:t>处置</w:t>
      </w:r>
      <w:r>
        <w:rPr>
          <w:rFonts w:ascii="Times New Roman" w:eastAsia="宋体"/>
          <w:szCs w:val="20"/>
          <w:highlight w:val="none"/>
        </w:rPr>
        <w:t>程序等）。</w:t>
      </w:r>
    </w:p>
    <w:p>
      <w:pPr>
        <w:pStyle w:val="55"/>
        <w:numPr>
          <w:ilvl w:val="0"/>
          <w:numId w:val="0"/>
        </w:numPr>
        <w:spacing w:before="156" w:after="0" w:afterLines="0"/>
        <w:ind w:firstLine="420" w:firstLineChars="200"/>
        <w:jc w:val="both"/>
        <w:rPr>
          <w:rFonts w:ascii="Times New Roman" w:eastAsia="宋体"/>
          <w:szCs w:val="20"/>
          <w:highlight w:val="none"/>
        </w:rPr>
      </w:pPr>
      <w:r>
        <w:rPr>
          <w:rFonts w:ascii="Times New Roman" w:eastAsia="宋体"/>
          <w:szCs w:val="20"/>
          <w:highlight w:val="none"/>
        </w:rPr>
        <w:t>——农业投入品管理制度（含投入品</w:t>
      </w:r>
      <w:r>
        <w:rPr>
          <w:rFonts w:hint="eastAsia" w:ascii="Times New Roman" w:eastAsia="宋体"/>
          <w:szCs w:val="20"/>
          <w:highlight w:val="none"/>
        </w:rPr>
        <w:t>选购</w:t>
      </w:r>
      <w:r>
        <w:rPr>
          <w:rFonts w:ascii="Times New Roman" w:eastAsia="宋体"/>
          <w:szCs w:val="20"/>
          <w:highlight w:val="none"/>
        </w:rPr>
        <w:t>、储存、使用及处理程序等）。</w:t>
      </w:r>
    </w:p>
    <w:p>
      <w:pPr>
        <w:pStyle w:val="55"/>
        <w:numPr>
          <w:ilvl w:val="0"/>
          <w:numId w:val="0"/>
        </w:numPr>
        <w:spacing w:before="156" w:after="0" w:afterLines="0"/>
        <w:ind w:firstLine="420" w:firstLineChars="200"/>
        <w:jc w:val="both"/>
        <w:rPr>
          <w:rFonts w:ascii="Times New Roman" w:eastAsia="宋体"/>
          <w:szCs w:val="20"/>
          <w:highlight w:val="none"/>
        </w:rPr>
      </w:pPr>
      <w:r>
        <w:rPr>
          <w:rFonts w:ascii="Times New Roman" w:eastAsia="宋体"/>
          <w:szCs w:val="20"/>
          <w:highlight w:val="none"/>
        </w:rPr>
        <w:t>——产品质量管理制度（含产品质量评价和检测程序、产品追溯和召回程序、产品意见反馈和投诉处理程序等）。</w:t>
      </w:r>
    </w:p>
    <w:p>
      <w:pPr>
        <w:pStyle w:val="55"/>
        <w:numPr>
          <w:ilvl w:val="0"/>
          <w:numId w:val="0"/>
        </w:numPr>
        <w:spacing w:before="156" w:after="0" w:afterLines="0"/>
        <w:ind w:firstLine="420" w:firstLineChars="200"/>
        <w:jc w:val="both"/>
        <w:rPr>
          <w:rFonts w:ascii="Times New Roman" w:eastAsia="宋体"/>
          <w:szCs w:val="20"/>
          <w:highlight w:val="none"/>
        </w:rPr>
      </w:pPr>
      <w:r>
        <w:rPr>
          <w:rFonts w:ascii="Times New Roman" w:eastAsia="宋体"/>
          <w:szCs w:val="20"/>
          <w:highlight w:val="none"/>
        </w:rPr>
        <w:t>——仓库管理制度（含出入库程序等）。</w:t>
      </w:r>
    </w:p>
    <w:p>
      <w:pPr>
        <w:pStyle w:val="55"/>
        <w:numPr>
          <w:ilvl w:val="0"/>
          <w:numId w:val="0"/>
        </w:numPr>
        <w:spacing w:before="156" w:after="0" w:afterLines="0"/>
        <w:ind w:firstLine="420" w:firstLineChars="200"/>
        <w:jc w:val="both"/>
        <w:rPr>
          <w:rFonts w:ascii="Times New Roman" w:eastAsia="宋体"/>
          <w:szCs w:val="20"/>
          <w:highlight w:val="none"/>
        </w:rPr>
      </w:pPr>
      <w:r>
        <w:rPr>
          <w:rFonts w:ascii="Times New Roman" w:eastAsia="宋体"/>
          <w:szCs w:val="20"/>
          <w:highlight w:val="none"/>
        </w:rPr>
        <w:t>——员工管理制度（含人员培训程序等）。</w:t>
      </w:r>
    </w:p>
    <w:p>
      <w:pPr>
        <w:pStyle w:val="25"/>
        <w:ind w:left="0" w:leftChars="0" w:firstLine="0" w:firstLineChars="0"/>
        <w:outlineLvl w:val="1"/>
        <w:rPr>
          <w:rFonts w:hint="eastAsia"/>
          <w:highlight w:val="none"/>
          <w:lang w:val="en-US" w:eastAsia="zh-CN"/>
        </w:rPr>
      </w:pPr>
      <w:r>
        <w:rPr>
          <w:rFonts w:hint="eastAsia" w:ascii="黑体" w:hAnsi="黑体" w:eastAsia="黑体" w:cs="黑体"/>
          <w:b w:val="0"/>
          <w:bCs w:val="0"/>
          <w:kern w:val="2"/>
          <w:sz w:val="21"/>
          <w:szCs w:val="21"/>
          <w:highlight w:val="none"/>
          <w:lang w:val="en-US" w:eastAsia="zh-CN" w:bidi="ar-SA"/>
        </w:rPr>
        <w:t xml:space="preserve">4.3 </w:t>
      </w:r>
      <w:r>
        <w:rPr>
          <w:rFonts w:hint="eastAsia"/>
          <w:highlight w:val="none"/>
          <w:lang w:val="en-US" w:eastAsia="zh-CN"/>
        </w:rPr>
        <w:t>档案文件包括但不限于：</w:t>
      </w:r>
    </w:p>
    <w:p>
      <w:pPr>
        <w:pStyle w:val="55"/>
        <w:numPr>
          <w:ilvl w:val="0"/>
          <w:numId w:val="0"/>
        </w:numPr>
        <w:spacing w:before="156" w:after="0" w:afterLines="0"/>
        <w:ind w:firstLine="420" w:firstLineChars="200"/>
        <w:jc w:val="both"/>
        <w:rPr>
          <w:rFonts w:ascii="Times New Roman" w:eastAsia="宋体"/>
          <w:szCs w:val="20"/>
          <w:highlight w:val="none"/>
        </w:rPr>
      </w:pPr>
      <w:r>
        <w:rPr>
          <w:rFonts w:ascii="Times New Roman" w:eastAsia="宋体"/>
          <w:szCs w:val="20"/>
          <w:highlight w:val="none"/>
        </w:rPr>
        <w:t>——</w:t>
      </w:r>
      <w:r>
        <w:rPr>
          <w:rFonts w:hint="eastAsia" w:ascii="Times New Roman" w:eastAsia="宋体"/>
          <w:szCs w:val="20"/>
          <w:highlight w:val="none"/>
          <w:lang w:val="en-US" w:eastAsia="zh-CN"/>
        </w:rPr>
        <w:t>作业指导书</w:t>
      </w:r>
      <w:r>
        <w:rPr>
          <w:rFonts w:hint="eastAsia" w:ascii="Times New Roman" w:eastAsia="宋体"/>
          <w:szCs w:val="20"/>
          <w:highlight w:val="none"/>
        </w:rPr>
        <w:t>（</w:t>
      </w:r>
      <w:r>
        <w:rPr>
          <w:rFonts w:ascii="Times New Roman" w:eastAsia="宋体"/>
          <w:szCs w:val="20"/>
          <w:highlight w:val="none"/>
        </w:rPr>
        <w:t>选种和浸种、整地、</w:t>
      </w:r>
      <w:r>
        <w:rPr>
          <w:rFonts w:hint="eastAsia" w:ascii="Times New Roman" w:eastAsia="宋体"/>
          <w:szCs w:val="20"/>
          <w:highlight w:val="none"/>
        </w:rPr>
        <w:t>播种</w:t>
      </w:r>
      <w:r>
        <w:rPr>
          <w:rFonts w:ascii="Times New Roman" w:eastAsia="宋体"/>
          <w:szCs w:val="20"/>
          <w:highlight w:val="none"/>
        </w:rPr>
        <w:t>、肥</w:t>
      </w:r>
      <w:r>
        <w:rPr>
          <w:rFonts w:hint="eastAsia" w:ascii="Times New Roman" w:eastAsia="宋体"/>
          <w:szCs w:val="20"/>
          <w:highlight w:val="none"/>
        </w:rPr>
        <w:t>料</w:t>
      </w:r>
      <w:r>
        <w:rPr>
          <w:rFonts w:ascii="Times New Roman" w:eastAsia="宋体"/>
          <w:szCs w:val="20"/>
          <w:highlight w:val="none"/>
        </w:rPr>
        <w:t>管理、</w:t>
      </w:r>
      <w:r>
        <w:rPr>
          <w:rFonts w:hint="eastAsia" w:ascii="Times New Roman" w:eastAsia="宋体"/>
          <w:szCs w:val="20"/>
          <w:highlight w:val="none"/>
        </w:rPr>
        <w:t>病虫害</w:t>
      </w:r>
      <w:r>
        <w:rPr>
          <w:rFonts w:ascii="Times New Roman" w:eastAsia="宋体"/>
          <w:szCs w:val="20"/>
          <w:highlight w:val="none"/>
        </w:rPr>
        <w:t>防治、</w:t>
      </w:r>
      <w:r>
        <w:rPr>
          <w:rFonts w:hint="eastAsia" w:ascii="Times New Roman" w:eastAsia="宋体"/>
          <w:szCs w:val="20"/>
          <w:highlight w:val="none"/>
        </w:rPr>
        <w:t>收获</w:t>
      </w:r>
      <w:r>
        <w:rPr>
          <w:rFonts w:ascii="Times New Roman" w:eastAsia="宋体"/>
          <w:szCs w:val="20"/>
          <w:highlight w:val="none"/>
        </w:rPr>
        <w:t>、</w:t>
      </w:r>
      <w:r>
        <w:rPr>
          <w:rFonts w:hint="eastAsia" w:ascii="Times New Roman" w:eastAsia="宋体"/>
          <w:szCs w:val="20"/>
          <w:highlight w:val="none"/>
        </w:rPr>
        <w:t>晾晒</w:t>
      </w:r>
      <w:r>
        <w:rPr>
          <w:rFonts w:hint="eastAsia" w:ascii="Times New Roman" w:eastAsia="宋体"/>
          <w:szCs w:val="20"/>
          <w:highlight w:val="none"/>
          <w:lang w:val="en-US" w:eastAsia="zh-CN"/>
        </w:rPr>
        <w:t>或</w:t>
      </w:r>
      <w:r>
        <w:rPr>
          <w:rFonts w:hint="eastAsia" w:ascii="Times New Roman" w:eastAsia="宋体"/>
          <w:szCs w:val="20"/>
          <w:highlight w:val="none"/>
        </w:rPr>
        <w:t>烘干、</w:t>
      </w:r>
      <w:r>
        <w:rPr>
          <w:rFonts w:ascii="Times New Roman" w:eastAsia="宋体"/>
          <w:szCs w:val="20"/>
          <w:highlight w:val="none"/>
        </w:rPr>
        <w:t>储存、运输、加工、产品质量控制等</w:t>
      </w:r>
      <w:r>
        <w:rPr>
          <w:rFonts w:hint="eastAsia" w:ascii="Times New Roman" w:eastAsia="宋体"/>
          <w:szCs w:val="20"/>
          <w:highlight w:val="none"/>
        </w:rPr>
        <w:t>过程）</w:t>
      </w:r>
      <w:r>
        <w:rPr>
          <w:rFonts w:ascii="Times New Roman" w:eastAsia="宋体"/>
          <w:szCs w:val="20"/>
          <w:highlight w:val="none"/>
        </w:rPr>
        <w:t>。</w:t>
      </w:r>
    </w:p>
    <w:p>
      <w:pPr>
        <w:pStyle w:val="55"/>
        <w:numPr>
          <w:ilvl w:val="0"/>
          <w:numId w:val="0"/>
        </w:numPr>
        <w:spacing w:before="156" w:after="0" w:afterLines="0"/>
        <w:ind w:firstLine="420" w:firstLineChars="200"/>
        <w:jc w:val="both"/>
        <w:rPr>
          <w:rFonts w:ascii="Times New Roman" w:eastAsia="宋体"/>
          <w:szCs w:val="20"/>
          <w:highlight w:val="none"/>
        </w:rPr>
      </w:pPr>
      <w:r>
        <w:rPr>
          <w:rFonts w:ascii="Times New Roman" w:eastAsia="宋体"/>
          <w:szCs w:val="20"/>
          <w:highlight w:val="none"/>
        </w:rPr>
        <w:t>——</w:t>
      </w:r>
      <w:r>
        <w:rPr>
          <w:rFonts w:hint="eastAsia" w:ascii="Times New Roman" w:eastAsia="宋体"/>
          <w:szCs w:val="20"/>
          <w:highlight w:val="none"/>
          <w:lang w:val="en-US" w:eastAsia="zh-CN"/>
        </w:rPr>
        <w:t>生产档案</w:t>
      </w:r>
      <w:r>
        <w:rPr>
          <w:rFonts w:hint="eastAsia" w:ascii="Times New Roman" w:eastAsia="宋体"/>
          <w:szCs w:val="20"/>
          <w:highlight w:val="none"/>
        </w:rPr>
        <w:t>（</w:t>
      </w:r>
      <w:r>
        <w:rPr>
          <w:rFonts w:hint="eastAsia" w:ascii="Times New Roman" w:eastAsia="宋体"/>
          <w:highlight w:val="none"/>
        </w:rPr>
        <w:t>田间重要农事操作、农业投入品管理、产后处理加工、包装储运、产品销售等）</w:t>
      </w:r>
      <w:r>
        <w:rPr>
          <w:rFonts w:ascii="Times New Roman" w:eastAsia="宋体"/>
          <w:szCs w:val="20"/>
          <w:highlight w:val="none"/>
        </w:rPr>
        <w:t>。</w:t>
      </w:r>
    </w:p>
    <w:p>
      <w:pPr>
        <w:widowControl/>
        <w:spacing w:before="156" w:beforeLines="50"/>
        <w:outlineLvl w:val="2"/>
        <w:rPr>
          <w:kern w:val="0"/>
          <w:szCs w:val="21"/>
          <w:highlight w:val="none"/>
        </w:rPr>
      </w:pPr>
      <w:r>
        <w:rPr>
          <w:rFonts w:hint="eastAsia" w:ascii="黑体" w:hAnsi="黑体" w:eastAsia="黑体" w:cs="黑体"/>
          <w:b w:val="0"/>
          <w:bCs w:val="0"/>
          <w:kern w:val="0"/>
          <w:szCs w:val="21"/>
          <w:highlight w:val="none"/>
          <w:lang w:val="en-US" w:eastAsia="zh-CN"/>
        </w:rPr>
        <w:t>4.4</w:t>
      </w:r>
      <w:r>
        <w:rPr>
          <w:kern w:val="0"/>
          <w:szCs w:val="21"/>
          <w:highlight w:val="none"/>
        </w:rPr>
        <w:t xml:space="preserve">  应建立内部</w:t>
      </w:r>
      <w:r>
        <w:rPr>
          <w:rFonts w:hint="eastAsia"/>
          <w:kern w:val="0"/>
          <w:szCs w:val="21"/>
          <w:highlight w:val="none"/>
        </w:rPr>
        <w:t>检查</w:t>
      </w:r>
      <w:r>
        <w:rPr>
          <w:kern w:val="0"/>
          <w:szCs w:val="21"/>
          <w:highlight w:val="none"/>
        </w:rPr>
        <w:t>制度，</w:t>
      </w:r>
      <w:r>
        <w:rPr>
          <w:rFonts w:hint="eastAsia"/>
          <w:kern w:val="0"/>
          <w:szCs w:val="21"/>
          <w:highlight w:val="none"/>
        </w:rPr>
        <w:t>由</w:t>
      </w:r>
      <w:r>
        <w:rPr>
          <w:rFonts w:hint="eastAsia"/>
          <w:kern w:val="0"/>
          <w:szCs w:val="21"/>
          <w:highlight w:val="none"/>
          <w:lang w:val="en-US" w:eastAsia="zh-CN"/>
        </w:rPr>
        <w:t>经过培训的</w:t>
      </w:r>
      <w:r>
        <w:rPr>
          <w:kern w:val="0"/>
          <w:szCs w:val="21"/>
          <w:highlight w:val="none"/>
        </w:rPr>
        <w:t>内部</w:t>
      </w:r>
      <w:r>
        <w:rPr>
          <w:rFonts w:hint="eastAsia"/>
          <w:kern w:val="0"/>
          <w:szCs w:val="21"/>
          <w:highlight w:val="none"/>
        </w:rPr>
        <w:t>检查员</w:t>
      </w:r>
      <w:r>
        <w:rPr>
          <w:rFonts w:hint="eastAsia"/>
          <w:kern w:val="0"/>
          <w:szCs w:val="21"/>
          <w:highlight w:val="none"/>
          <w:lang w:val="en-US" w:eastAsia="zh-CN"/>
        </w:rPr>
        <w:t>按照作业指导书要求</w:t>
      </w:r>
      <w:r>
        <w:rPr>
          <w:kern w:val="0"/>
          <w:szCs w:val="21"/>
          <w:highlight w:val="none"/>
        </w:rPr>
        <w:t>履行日常内部检查义务</w:t>
      </w:r>
      <w:r>
        <w:rPr>
          <w:rFonts w:hint="eastAsia"/>
          <w:kern w:val="0"/>
          <w:szCs w:val="21"/>
          <w:highlight w:val="none"/>
          <w:lang w:eastAsia="zh-CN"/>
        </w:rPr>
        <w:t>，</w:t>
      </w:r>
      <w:r>
        <w:rPr>
          <w:kern w:val="0"/>
          <w:szCs w:val="21"/>
          <w:highlight w:val="none"/>
        </w:rPr>
        <w:t>每年</w:t>
      </w:r>
      <w:r>
        <w:rPr>
          <w:rFonts w:hint="eastAsia"/>
          <w:kern w:val="0"/>
          <w:szCs w:val="21"/>
          <w:highlight w:val="none"/>
        </w:rPr>
        <w:t>内部检查</w:t>
      </w:r>
      <w:r>
        <w:rPr>
          <w:kern w:val="0"/>
          <w:szCs w:val="21"/>
          <w:highlight w:val="none"/>
        </w:rPr>
        <w:t>不少于2次。对</w:t>
      </w:r>
      <w:r>
        <w:rPr>
          <w:rFonts w:hint="eastAsia"/>
          <w:kern w:val="0"/>
          <w:szCs w:val="21"/>
          <w:highlight w:val="none"/>
          <w:lang w:val="en-US" w:eastAsia="zh-CN"/>
        </w:rPr>
        <w:t>内部</w:t>
      </w:r>
      <w:r>
        <w:rPr>
          <w:rFonts w:hint="eastAsia"/>
          <w:kern w:val="0"/>
          <w:szCs w:val="21"/>
          <w:highlight w:val="none"/>
        </w:rPr>
        <w:t>检查</w:t>
      </w:r>
      <w:r>
        <w:rPr>
          <w:kern w:val="0"/>
          <w:szCs w:val="21"/>
          <w:highlight w:val="none"/>
        </w:rPr>
        <w:t>发现的不符合项应</w:t>
      </w:r>
      <w:r>
        <w:rPr>
          <w:rFonts w:hint="eastAsia"/>
          <w:kern w:val="0"/>
          <w:szCs w:val="21"/>
          <w:highlight w:val="none"/>
          <w:lang w:val="en-US" w:eastAsia="zh-CN"/>
        </w:rPr>
        <w:t>进行通报并</w:t>
      </w:r>
      <w:r>
        <w:rPr>
          <w:kern w:val="0"/>
          <w:szCs w:val="21"/>
          <w:highlight w:val="none"/>
        </w:rPr>
        <w:t>采取有效整改措施，保存书面</w:t>
      </w:r>
      <w:r>
        <w:rPr>
          <w:rFonts w:hint="eastAsia"/>
          <w:kern w:val="0"/>
          <w:szCs w:val="21"/>
          <w:highlight w:val="none"/>
          <w:lang w:val="en-US" w:eastAsia="zh-CN"/>
        </w:rPr>
        <w:t>通报</w:t>
      </w:r>
      <w:r>
        <w:rPr>
          <w:kern w:val="0"/>
          <w:szCs w:val="21"/>
          <w:highlight w:val="none"/>
        </w:rPr>
        <w:t>和整改</w:t>
      </w:r>
      <w:r>
        <w:rPr>
          <w:rFonts w:hint="eastAsia"/>
          <w:kern w:val="0"/>
          <w:szCs w:val="21"/>
          <w:highlight w:val="none"/>
          <w:lang w:val="en-US" w:eastAsia="zh-CN"/>
        </w:rPr>
        <w:t>记录</w:t>
      </w:r>
      <w:r>
        <w:rPr>
          <w:kern w:val="0"/>
          <w:szCs w:val="21"/>
          <w:highlight w:val="none"/>
        </w:rPr>
        <w:t xml:space="preserve">。 </w:t>
      </w:r>
    </w:p>
    <w:p>
      <w:pPr>
        <w:widowControl/>
        <w:numPr>
          <w:ilvl w:val="0"/>
          <w:numId w:val="0"/>
        </w:numPr>
        <w:tabs>
          <w:tab w:val="left" w:pos="360"/>
        </w:tabs>
        <w:spacing w:before="156" w:beforeLines="50" w:line="360" w:lineRule="auto"/>
        <w:outlineLvl w:val="0"/>
        <w:rPr>
          <w:rFonts w:eastAsia="黑体"/>
          <w:kern w:val="0"/>
          <w:szCs w:val="21"/>
          <w:highlight w:val="none"/>
        </w:rPr>
      </w:pPr>
      <w:bookmarkStart w:id="29" w:name="_Toc19520"/>
      <w:r>
        <w:rPr>
          <w:rFonts w:hint="eastAsia" w:ascii="黑体" w:hAnsi="黑体" w:eastAsia="黑体" w:cs="黑体"/>
          <w:kern w:val="0"/>
          <w:szCs w:val="20"/>
          <w:highlight w:val="none"/>
          <w:lang w:val="en-US" w:eastAsia="zh-CN"/>
        </w:rPr>
        <w:t xml:space="preserve">5 </w:t>
      </w:r>
      <w:r>
        <w:rPr>
          <w:rFonts w:hint="eastAsia" w:eastAsia="黑体"/>
          <w:kern w:val="0"/>
          <w:szCs w:val="20"/>
          <w:highlight w:val="none"/>
          <w:lang w:val="en-US" w:eastAsia="zh-CN"/>
        </w:rPr>
        <w:t xml:space="preserve"> </w:t>
      </w:r>
      <w:r>
        <w:rPr>
          <w:rFonts w:hint="eastAsia" w:eastAsia="黑体"/>
          <w:kern w:val="0"/>
          <w:szCs w:val="21"/>
          <w:highlight w:val="none"/>
          <w:lang w:val="en-US" w:eastAsia="zh-CN"/>
        </w:rPr>
        <w:t>产地质量控制</w:t>
      </w:r>
      <w:bookmarkEnd w:id="29"/>
    </w:p>
    <w:p>
      <w:pPr>
        <w:widowControl/>
        <w:spacing w:before="156" w:beforeLines="50"/>
        <w:outlineLvl w:val="3"/>
        <w:rPr>
          <w:kern w:val="0"/>
          <w:szCs w:val="21"/>
          <w:highlight w:val="none"/>
        </w:rPr>
      </w:pPr>
      <w:r>
        <w:rPr>
          <w:rFonts w:hint="eastAsia" w:ascii="黑体" w:hAnsi="黑体" w:eastAsia="黑体" w:cs="黑体"/>
          <w:b w:val="0"/>
          <w:bCs w:val="0"/>
          <w:kern w:val="0"/>
          <w:szCs w:val="21"/>
          <w:highlight w:val="none"/>
          <w:lang w:val="en-US" w:eastAsia="zh-CN"/>
        </w:rPr>
        <w:t>5.1</w:t>
      </w:r>
      <w:r>
        <w:rPr>
          <w:rFonts w:hint="eastAsia" w:ascii="黑体" w:hAnsi="黑体" w:eastAsia="黑体" w:cs="黑体"/>
          <w:b w:val="0"/>
          <w:bCs w:val="0"/>
          <w:kern w:val="0"/>
          <w:szCs w:val="21"/>
          <w:highlight w:val="none"/>
        </w:rPr>
        <w:t xml:space="preserve"> </w:t>
      </w:r>
      <w:r>
        <w:rPr>
          <w:kern w:val="0"/>
          <w:szCs w:val="21"/>
          <w:highlight w:val="none"/>
        </w:rPr>
        <w:t xml:space="preserve"> </w:t>
      </w:r>
      <w:r>
        <w:rPr>
          <w:rFonts w:hint="eastAsia"/>
          <w:kern w:val="0"/>
          <w:szCs w:val="21"/>
          <w:highlight w:val="none"/>
        </w:rPr>
        <w:t>选择</w:t>
      </w:r>
      <w:r>
        <w:rPr>
          <w:kern w:val="0"/>
          <w:szCs w:val="21"/>
          <w:highlight w:val="none"/>
        </w:rPr>
        <w:t>生产</w:t>
      </w:r>
      <w:r>
        <w:rPr>
          <w:rFonts w:hint="eastAsia"/>
          <w:kern w:val="0"/>
          <w:szCs w:val="21"/>
          <w:highlight w:val="none"/>
          <w:lang w:val="en-US" w:eastAsia="zh-CN"/>
        </w:rPr>
        <w:t>产地</w:t>
      </w:r>
      <w:r>
        <w:rPr>
          <w:rFonts w:hint="eastAsia"/>
          <w:kern w:val="0"/>
          <w:szCs w:val="21"/>
          <w:highlight w:val="none"/>
        </w:rPr>
        <w:t>前</w:t>
      </w:r>
      <w:r>
        <w:rPr>
          <w:kern w:val="0"/>
          <w:szCs w:val="21"/>
          <w:highlight w:val="none"/>
        </w:rPr>
        <w:t>应对</w:t>
      </w:r>
      <w:r>
        <w:rPr>
          <w:rFonts w:hint="eastAsia"/>
          <w:kern w:val="0"/>
          <w:szCs w:val="21"/>
          <w:highlight w:val="none"/>
        </w:rPr>
        <w:t>土地使用历史、周围</w:t>
      </w:r>
      <w:r>
        <w:rPr>
          <w:kern w:val="0"/>
          <w:szCs w:val="21"/>
          <w:highlight w:val="none"/>
        </w:rPr>
        <w:t>民用和工业</w:t>
      </w:r>
      <w:r>
        <w:rPr>
          <w:rFonts w:hint="eastAsia"/>
          <w:kern w:val="0"/>
          <w:szCs w:val="21"/>
          <w:highlight w:val="none"/>
        </w:rPr>
        <w:t>等排污情况</w:t>
      </w:r>
      <w:r>
        <w:rPr>
          <w:highlight w:val="none"/>
        </w:rPr>
        <w:t>进行调查和评估</w:t>
      </w:r>
      <w:r>
        <w:rPr>
          <w:rFonts w:hint="eastAsia"/>
          <w:highlight w:val="none"/>
        </w:rPr>
        <w:t>。生产基地</w:t>
      </w:r>
      <w:r>
        <w:rPr>
          <w:kern w:val="0"/>
          <w:szCs w:val="21"/>
          <w:highlight w:val="none"/>
        </w:rPr>
        <w:t>应具备生产所必需的条件，选择在无污染和生态良好的地区</w:t>
      </w:r>
      <w:r>
        <w:rPr>
          <w:rFonts w:hint="eastAsia"/>
          <w:kern w:val="0"/>
          <w:szCs w:val="21"/>
          <w:highlight w:val="none"/>
        </w:rPr>
        <w:t>。</w:t>
      </w:r>
      <w:r>
        <w:rPr>
          <w:kern w:val="0"/>
          <w:szCs w:val="21"/>
          <w:highlight w:val="none"/>
        </w:rPr>
        <w:t>产地环境空气</w:t>
      </w:r>
      <w:r>
        <w:rPr>
          <w:rFonts w:hint="eastAsia"/>
          <w:kern w:val="0"/>
          <w:szCs w:val="21"/>
          <w:highlight w:val="none"/>
          <w:lang w:eastAsia="zh-CN"/>
        </w:rPr>
        <w:t>、</w:t>
      </w:r>
      <w:r>
        <w:rPr>
          <w:kern w:val="0"/>
          <w:szCs w:val="21"/>
          <w:highlight w:val="none"/>
        </w:rPr>
        <w:t>灌溉水水质</w:t>
      </w:r>
      <w:r>
        <w:rPr>
          <w:rFonts w:hint="eastAsia"/>
          <w:kern w:val="0"/>
          <w:szCs w:val="21"/>
          <w:highlight w:val="none"/>
          <w:lang w:val="en-US" w:eastAsia="zh-CN"/>
        </w:rPr>
        <w:t>和</w:t>
      </w:r>
      <w:r>
        <w:rPr>
          <w:kern w:val="0"/>
          <w:szCs w:val="21"/>
          <w:highlight w:val="none"/>
        </w:rPr>
        <w:t>土壤环境质量应符合</w:t>
      </w:r>
      <w:r>
        <w:rPr>
          <w:rFonts w:hint="eastAsia"/>
          <w:kern w:val="0"/>
          <w:szCs w:val="21"/>
          <w:highlight w:val="none"/>
          <w:lang w:val="en-US" w:eastAsia="zh-CN"/>
        </w:rPr>
        <w:t>NY 846</w:t>
      </w:r>
      <w:r>
        <w:rPr>
          <w:kern w:val="0"/>
          <w:szCs w:val="21"/>
          <w:highlight w:val="none"/>
        </w:rPr>
        <w:t>的要求。</w:t>
      </w:r>
    </w:p>
    <w:p>
      <w:pPr>
        <w:widowControl/>
        <w:spacing w:before="156" w:beforeLines="50"/>
        <w:outlineLvl w:val="1"/>
        <w:rPr>
          <w:kern w:val="0"/>
          <w:szCs w:val="21"/>
          <w:highlight w:val="none"/>
        </w:rPr>
      </w:pPr>
      <w:r>
        <w:rPr>
          <w:rFonts w:hint="eastAsia" w:ascii="黑体" w:hAnsi="黑体" w:eastAsia="黑体" w:cs="黑体"/>
          <w:b w:val="0"/>
          <w:bCs w:val="0"/>
          <w:kern w:val="0"/>
          <w:szCs w:val="21"/>
          <w:highlight w:val="none"/>
          <w:lang w:val="en-US" w:eastAsia="zh-CN"/>
        </w:rPr>
        <w:t>5.2</w:t>
      </w:r>
      <w:r>
        <w:rPr>
          <w:kern w:val="0"/>
          <w:szCs w:val="21"/>
          <w:highlight w:val="none"/>
        </w:rPr>
        <w:t xml:space="preserve">  </w:t>
      </w:r>
      <w:r>
        <w:rPr>
          <w:rFonts w:hint="eastAsia"/>
          <w:kern w:val="0"/>
          <w:szCs w:val="21"/>
          <w:highlight w:val="none"/>
          <w:lang w:val="en-US" w:eastAsia="zh-CN"/>
        </w:rPr>
        <w:t>应</w:t>
      </w:r>
      <w:r>
        <w:rPr>
          <w:kern w:val="0"/>
          <w:szCs w:val="21"/>
          <w:highlight w:val="none"/>
        </w:rPr>
        <w:t>选择</w:t>
      </w:r>
      <w:r>
        <w:rPr>
          <w:rFonts w:hint="eastAsia"/>
          <w:kern w:val="0"/>
          <w:szCs w:val="21"/>
          <w:highlight w:val="none"/>
          <w:lang w:val="en-US" w:eastAsia="zh-CN"/>
        </w:rPr>
        <w:t>集中连片，土壤肥沃，设施完善，</w:t>
      </w:r>
      <w:r>
        <w:rPr>
          <w:kern w:val="0"/>
          <w:szCs w:val="21"/>
          <w:highlight w:val="none"/>
        </w:rPr>
        <w:t xml:space="preserve">利于机械耕作的田块。 </w:t>
      </w:r>
    </w:p>
    <w:p>
      <w:pPr>
        <w:adjustRightInd w:val="0"/>
        <w:snapToGrid w:val="0"/>
        <w:spacing w:before="156" w:beforeLines="50"/>
        <w:rPr>
          <w:rFonts w:hint="eastAsia" w:eastAsia="宋体"/>
          <w:kern w:val="0"/>
          <w:szCs w:val="21"/>
          <w:highlight w:val="none"/>
          <w:lang w:eastAsia="zh-CN"/>
        </w:rPr>
      </w:pPr>
      <w:r>
        <w:rPr>
          <w:rFonts w:hint="eastAsia" w:ascii="黑体" w:hAnsi="黑体" w:eastAsia="黑体" w:cs="黑体"/>
          <w:b w:val="0"/>
          <w:bCs w:val="0"/>
          <w:kern w:val="0"/>
          <w:szCs w:val="21"/>
          <w:highlight w:val="none"/>
          <w:lang w:val="en-US" w:eastAsia="zh-CN"/>
        </w:rPr>
        <w:t>5.3</w:t>
      </w:r>
      <w:r>
        <w:rPr>
          <w:kern w:val="0"/>
          <w:szCs w:val="21"/>
          <w:highlight w:val="none"/>
        </w:rPr>
        <w:t xml:space="preserve">  </w:t>
      </w:r>
      <w:r>
        <w:rPr>
          <w:rFonts w:hint="eastAsia"/>
          <w:kern w:val="0"/>
          <w:szCs w:val="21"/>
          <w:highlight w:val="none"/>
          <w:lang w:val="en-US" w:eastAsia="zh-CN"/>
        </w:rPr>
        <w:t>应</w:t>
      </w:r>
      <w:r>
        <w:rPr>
          <w:kern w:val="0"/>
          <w:szCs w:val="21"/>
          <w:highlight w:val="none"/>
        </w:rPr>
        <w:t>根据经营规模、地形划分作业区</w:t>
      </w:r>
      <w:r>
        <w:rPr>
          <w:rFonts w:hint="eastAsia"/>
          <w:kern w:val="0"/>
          <w:szCs w:val="21"/>
          <w:highlight w:val="none"/>
          <w:lang w:eastAsia="zh-CN"/>
        </w:rPr>
        <w:t>，</w:t>
      </w:r>
      <w:r>
        <w:rPr>
          <w:rFonts w:hint="eastAsia"/>
          <w:kern w:val="0"/>
          <w:szCs w:val="21"/>
          <w:highlight w:val="none"/>
          <w:lang w:val="en-US" w:eastAsia="zh-CN"/>
        </w:rPr>
        <w:t>整治田块</w:t>
      </w:r>
      <w:r>
        <w:rPr>
          <w:kern w:val="0"/>
          <w:szCs w:val="21"/>
          <w:highlight w:val="none"/>
        </w:rPr>
        <w:t>，铺设基地道路与排灌系统</w:t>
      </w:r>
      <w:r>
        <w:rPr>
          <w:rFonts w:hint="eastAsia"/>
          <w:kern w:val="0"/>
          <w:szCs w:val="21"/>
          <w:highlight w:val="none"/>
          <w:lang w:eastAsia="zh-CN"/>
        </w:rPr>
        <w:t>。</w:t>
      </w:r>
    </w:p>
    <w:p>
      <w:pPr>
        <w:adjustRightInd w:val="0"/>
        <w:snapToGrid w:val="0"/>
        <w:spacing w:before="156" w:beforeLines="50"/>
        <w:rPr>
          <w:kern w:val="0"/>
          <w:szCs w:val="21"/>
          <w:highlight w:val="none"/>
        </w:rPr>
      </w:pPr>
      <w:r>
        <w:rPr>
          <w:rFonts w:hint="eastAsia" w:ascii="黑体" w:hAnsi="黑体" w:eastAsia="黑体" w:cs="黑体"/>
          <w:b w:val="0"/>
          <w:bCs w:val="0"/>
          <w:kern w:val="0"/>
          <w:szCs w:val="21"/>
          <w:highlight w:val="none"/>
          <w:lang w:val="en-US" w:eastAsia="zh-CN"/>
        </w:rPr>
        <w:t>5.4</w:t>
      </w:r>
      <w:r>
        <w:rPr>
          <w:rFonts w:hint="eastAsia"/>
          <w:kern w:val="0"/>
          <w:szCs w:val="21"/>
          <w:highlight w:val="none"/>
          <w:lang w:val="en-US" w:eastAsia="zh-CN"/>
        </w:rPr>
        <w:t xml:space="preserve">  应做好农田防护、生态环境保护和环境监测</w:t>
      </w:r>
      <w:r>
        <w:rPr>
          <w:kern w:val="0"/>
          <w:szCs w:val="21"/>
          <w:highlight w:val="none"/>
        </w:rPr>
        <w:t>。</w:t>
      </w:r>
      <w:r>
        <w:rPr>
          <w:szCs w:val="21"/>
          <w:highlight w:val="none"/>
        </w:rPr>
        <w:t>当</w:t>
      </w:r>
      <w:r>
        <w:rPr>
          <w:rFonts w:hint="eastAsia"/>
          <w:szCs w:val="21"/>
          <w:highlight w:val="none"/>
          <w:lang w:val="en-US" w:eastAsia="zh-CN"/>
        </w:rPr>
        <w:t>基地</w:t>
      </w:r>
      <w:r>
        <w:rPr>
          <w:szCs w:val="21"/>
          <w:highlight w:val="none"/>
        </w:rPr>
        <w:t>周边环境条件发生变化，如周边水系污染、禁用物质漂移等造成污染时，应</w:t>
      </w:r>
      <w:r>
        <w:rPr>
          <w:rFonts w:hint="eastAsia"/>
          <w:szCs w:val="21"/>
          <w:highlight w:val="none"/>
          <w:lang w:val="en-US" w:eastAsia="zh-CN"/>
        </w:rPr>
        <w:t>重点</w:t>
      </w:r>
      <w:r>
        <w:rPr>
          <w:szCs w:val="21"/>
          <w:highlight w:val="none"/>
        </w:rPr>
        <w:t>监测</w:t>
      </w:r>
      <w:r>
        <w:rPr>
          <w:rFonts w:hint="eastAsia"/>
          <w:szCs w:val="21"/>
          <w:highlight w:val="none"/>
          <w:lang w:val="en-US" w:eastAsia="zh-CN"/>
        </w:rPr>
        <w:t>并</w:t>
      </w:r>
      <w:r>
        <w:rPr>
          <w:szCs w:val="21"/>
          <w:highlight w:val="none"/>
        </w:rPr>
        <w:t>采取防治污染的措施。</w:t>
      </w:r>
    </w:p>
    <w:p>
      <w:pPr>
        <w:adjustRightInd w:val="0"/>
        <w:snapToGrid w:val="0"/>
        <w:spacing w:before="156" w:beforeLines="50"/>
        <w:rPr>
          <w:kern w:val="0"/>
          <w:szCs w:val="21"/>
          <w:highlight w:val="none"/>
        </w:rPr>
      </w:pPr>
      <w:r>
        <w:rPr>
          <w:rFonts w:hint="eastAsia" w:ascii="黑体" w:hAnsi="黑体" w:eastAsia="黑体" w:cs="黑体"/>
          <w:b w:val="0"/>
          <w:bCs w:val="0"/>
          <w:kern w:val="0"/>
          <w:szCs w:val="21"/>
          <w:highlight w:val="none"/>
          <w:lang w:val="en-US" w:eastAsia="zh-CN"/>
        </w:rPr>
        <w:t>5.5</w:t>
      </w:r>
      <w:r>
        <w:rPr>
          <w:kern w:val="0"/>
          <w:szCs w:val="21"/>
          <w:highlight w:val="none"/>
        </w:rPr>
        <w:t xml:space="preserve">  应建有分别存放投入品和产品的专用仓库</w:t>
      </w:r>
      <w:r>
        <w:rPr>
          <w:rFonts w:hint="eastAsia"/>
          <w:kern w:val="0"/>
          <w:szCs w:val="21"/>
          <w:highlight w:val="none"/>
          <w:lang w:eastAsia="zh-CN"/>
        </w:rPr>
        <w:t>，</w:t>
      </w:r>
      <w:r>
        <w:rPr>
          <w:rFonts w:hint="eastAsia"/>
          <w:kern w:val="0"/>
          <w:szCs w:val="21"/>
          <w:highlight w:val="none"/>
          <w:lang w:val="en-US" w:eastAsia="zh-CN"/>
        </w:rPr>
        <w:t>设定专门的</w:t>
      </w:r>
      <w:r>
        <w:rPr>
          <w:kern w:val="0"/>
          <w:szCs w:val="21"/>
          <w:highlight w:val="none"/>
        </w:rPr>
        <w:t>废弃物存放区</w:t>
      </w:r>
      <w:r>
        <w:rPr>
          <w:rFonts w:hint="eastAsia"/>
          <w:kern w:val="0"/>
          <w:szCs w:val="21"/>
          <w:highlight w:val="none"/>
          <w:lang w:val="en-US" w:eastAsia="zh-CN"/>
        </w:rPr>
        <w:t>。</w:t>
      </w:r>
      <w:r>
        <w:rPr>
          <w:kern w:val="0"/>
          <w:szCs w:val="21"/>
          <w:highlight w:val="none"/>
        </w:rPr>
        <w:t>应根据生产需要，建立</w:t>
      </w:r>
      <w:r>
        <w:rPr>
          <w:rFonts w:hint="eastAsia"/>
          <w:kern w:val="0"/>
          <w:szCs w:val="21"/>
          <w:highlight w:val="none"/>
          <w:lang w:val="en-US" w:eastAsia="zh-CN"/>
        </w:rPr>
        <w:t>晾晒烘干、</w:t>
      </w:r>
      <w:r>
        <w:rPr>
          <w:kern w:val="0"/>
          <w:szCs w:val="21"/>
          <w:highlight w:val="none"/>
        </w:rPr>
        <w:t>产品加工、包装、储存、检测等专用场所，并配备相应设备。有关区域应设置醒目的平面图、标志、标识等。</w:t>
      </w:r>
    </w:p>
    <w:p>
      <w:pPr>
        <w:widowControl/>
        <w:numPr>
          <w:ilvl w:val="0"/>
          <w:numId w:val="0"/>
        </w:numPr>
        <w:tabs>
          <w:tab w:val="left" w:pos="360"/>
        </w:tabs>
        <w:spacing w:before="156" w:beforeLines="50" w:line="360" w:lineRule="auto"/>
        <w:outlineLvl w:val="0"/>
        <w:rPr>
          <w:rFonts w:hint="eastAsia" w:eastAsia="黑体"/>
          <w:kern w:val="0"/>
          <w:szCs w:val="21"/>
          <w:highlight w:val="none"/>
          <w:lang w:val="en-US" w:eastAsia="zh-CN"/>
        </w:rPr>
      </w:pPr>
      <w:bookmarkStart w:id="30" w:name="_Toc28989"/>
      <w:r>
        <w:rPr>
          <w:rFonts w:hint="eastAsia" w:ascii="黑体" w:hAnsi="黑体" w:eastAsia="黑体" w:cs="黑体"/>
          <w:kern w:val="0"/>
          <w:szCs w:val="21"/>
          <w:highlight w:val="none"/>
          <w:lang w:val="en-US" w:eastAsia="zh-CN"/>
        </w:rPr>
        <w:t xml:space="preserve">6  </w:t>
      </w:r>
      <w:r>
        <w:rPr>
          <w:rFonts w:eastAsia="黑体"/>
          <w:kern w:val="0"/>
          <w:szCs w:val="21"/>
          <w:highlight w:val="none"/>
        </w:rPr>
        <w:t>农业投入品</w:t>
      </w:r>
      <w:r>
        <w:rPr>
          <w:rFonts w:hint="eastAsia" w:eastAsia="黑体"/>
          <w:kern w:val="0"/>
          <w:szCs w:val="21"/>
          <w:highlight w:val="none"/>
          <w:lang w:val="en-US" w:eastAsia="zh-CN"/>
        </w:rPr>
        <w:t>管理</w:t>
      </w:r>
      <w:bookmarkEnd w:id="30"/>
    </w:p>
    <w:p>
      <w:pPr>
        <w:widowControl/>
        <w:spacing w:before="156" w:beforeLines="50"/>
        <w:outlineLvl w:val="1"/>
        <w:rPr>
          <w:rFonts w:eastAsia="黑体"/>
          <w:kern w:val="0"/>
          <w:szCs w:val="21"/>
          <w:highlight w:val="none"/>
        </w:rPr>
      </w:pPr>
      <w:r>
        <w:rPr>
          <w:rFonts w:hint="eastAsia" w:ascii="黑体" w:hAnsi="黑体" w:eastAsia="黑体" w:cs="黑体"/>
          <w:b w:val="0"/>
          <w:bCs w:val="0"/>
          <w:kern w:val="0"/>
          <w:szCs w:val="21"/>
          <w:highlight w:val="none"/>
          <w:lang w:val="en-US" w:eastAsia="zh-CN"/>
        </w:rPr>
        <w:t>6.1</w:t>
      </w:r>
      <w:r>
        <w:rPr>
          <w:rFonts w:eastAsia="黑体"/>
          <w:kern w:val="0"/>
          <w:szCs w:val="21"/>
          <w:highlight w:val="none"/>
        </w:rPr>
        <w:t xml:space="preserve">  选购 </w:t>
      </w:r>
    </w:p>
    <w:p>
      <w:pPr>
        <w:pStyle w:val="61"/>
        <w:numPr>
          <w:ilvl w:val="0"/>
          <w:numId w:val="0"/>
        </w:numPr>
        <w:spacing w:before="156" w:after="0" w:afterLines="0"/>
        <w:jc w:val="both"/>
        <w:rPr>
          <w:rFonts w:ascii="Times New Roman" w:eastAsia="宋体"/>
          <w:highlight w:val="none"/>
        </w:rPr>
      </w:pPr>
      <w:r>
        <w:rPr>
          <w:rFonts w:hint="eastAsia" w:hAnsi="黑体" w:cs="黑体"/>
          <w:b w:val="0"/>
          <w:bCs w:val="0"/>
          <w:highlight w:val="none"/>
          <w:lang w:val="en-US" w:eastAsia="zh-CN"/>
        </w:rPr>
        <w:t>6.1.1</w:t>
      </w:r>
      <w:r>
        <w:rPr>
          <w:rFonts w:ascii="Times New Roman" w:eastAsia="宋体"/>
          <w:highlight w:val="none"/>
        </w:rPr>
        <w:t xml:space="preserve">  应从正规渠道购买符合国家相关法律法规、证件有效齐全、产品质量合格的农业投入品（种子、肥料、农药、基质、农膜、</w:t>
      </w:r>
      <w:r>
        <w:rPr>
          <w:rFonts w:hint="eastAsia" w:ascii="Times New Roman" w:eastAsia="宋体"/>
          <w:highlight w:val="none"/>
        </w:rPr>
        <w:t>包装</w:t>
      </w:r>
      <w:r>
        <w:rPr>
          <w:rFonts w:ascii="Times New Roman" w:eastAsia="宋体"/>
          <w:highlight w:val="none"/>
        </w:rPr>
        <w:t>、器械等）。</w:t>
      </w:r>
    </w:p>
    <w:p>
      <w:pPr>
        <w:adjustRightInd w:val="0"/>
        <w:snapToGrid w:val="0"/>
        <w:spacing w:before="156" w:beforeLines="50"/>
        <w:rPr>
          <w:kern w:val="0"/>
          <w:szCs w:val="21"/>
          <w:highlight w:val="none"/>
        </w:rPr>
      </w:pPr>
      <w:r>
        <w:rPr>
          <w:rFonts w:hint="eastAsia" w:ascii="黑体" w:hAnsi="黑体" w:eastAsia="黑体" w:cs="黑体"/>
          <w:b w:val="0"/>
          <w:bCs w:val="0"/>
          <w:kern w:val="0"/>
          <w:szCs w:val="21"/>
          <w:highlight w:val="none"/>
          <w:lang w:val="en-US" w:eastAsia="zh-CN"/>
        </w:rPr>
        <w:t>6.1.2</w:t>
      </w:r>
      <w:r>
        <w:rPr>
          <w:rFonts w:hint="eastAsia" w:ascii="黑体" w:hAnsi="黑体" w:eastAsia="黑体" w:cs="黑体"/>
          <w:b w:val="0"/>
          <w:bCs w:val="0"/>
          <w:kern w:val="0"/>
          <w:szCs w:val="21"/>
          <w:highlight w:val="none"/>
        </w:rPr>
        <w:t xml:space="preserve"> </w:t>
      </w:r>
      <w:r>
        <w:rPr>
          <w:kern w:val="0"/>
          <w:szCs w:val="21"/>
          <w:highlight w:val="none"/>
        </w:rPr>
        <w:t xml:space="preserve"> 建立购买</w:t>
      </w:r>
      <w:r>
        <w:rPr>
          <w:rFonts w:hint="eastAsia"/>
          <w:kern w:val="0"/>
          <w:szCs w:val="21"/>
          <w:highlight w:val="none"/>
          <w:lang w:val="en-US" w:eastAsia="zh-CN"/>
        </w:rPr>
        <w:t>登记</w:t>
      </w:r>
      <w:r>
        <w:rPr>
          <w:kern w:val="0"/>
          <w:szCs w:val="21"/>
          <w:highlight w:val="none"/>
        </w:rPr>
        <w:t>台账，并保存</w:t>
      </w:r>
      <w:r>
        <w:rPr>
          <w:rFonts w:hint="eastAsia"/>
          <w:kern w:val="0"/>
          <w:szCs w:val="21"/>
          <w:highlight w:val="none"/>
          <w:lang w:val="en-US" w:eastAsia="zh-CN"/>
        </w:rPr>
        <w:t>相关凭证</w:t>
      </w:r>
      <w:r>
        <w:rPr>
          <w:kern w:val="0"/>
          <w:szCs w:val="21"/>
          <w:highlight w:val="none"/>
        </w:rPr>
        <w:t>等证明材料。</w:t>
      </w:r>
    </w:p>
    <w:p>
      <w:pPr>
        <w:adjustRightInd w:val="0"/>
        <w:snapToGrid w:val="0"/>
        <w:spacing w:before="156" w:beforeLines="50"/>
        <w:rPr>
          <w:kern w:val="0"/>
          <w:szCs w:val="21"/>
          <w:highlight w:val="none"/>
        </w:rPr>
      </w:pPr>
      <w:r>
        <w:rPr>
          <w:rFonts w:hint="eastAsia" w:ascii="黑体" w:hAnsi="黑体" w:eastAsia="黑体" w:cs="黑体"/>
          <w:b w:val="0"/>
          <w:bCs w:val="0"/>
          <w:kern w:val="0"/>
          <w:szCs w:val="21"/>
          <w:highlight w:val="none"/>
          <w:lang w:val="en-US" w:eastAsia="zh-CN"/>
        </w:rPr>
        <w:t>6.1.3</w:t>
      </w:r>
      <w:r>
        <w:rPr>
          <w:rFonts w:hint="eastAsia" w:ascii="黑体" w:hAnsi="黑体" w:eastAsia="黑体" w:cs="黑体"/>
          <w:b w:val="0"/>
          <w:bCs w:val="0"/>
          <w:kern w:val="0"/>
          <w:szCs w:val="21"/>
          <w:highlight w:val="none"/>
        </w:rPr>
        <w:t xml:space="preserve"> </w:t>
      </w:r>
      <w:r>
        <w:rPr>
          <w:kern w:val="0"/>
          <w:szCs w:val="21"/>
          <w:highlight w:val="none"/>
        </w:rPr>
        <w:t xml:space="preserve"> 种子应符合GB 440</w:t>
      </w:r>
      <w:r>
        <w:rPr>
          <w:rFonts w:hint="eastAsia"/>
          <w:kern w:val="0"/>
          <w:szCs w:val="21"/>
          <w:highlight w:val="none"/>
          <w:lang w:val="en-US" w:eastAsia="zh-CN"/>
        </w:rPr>
        <w:t>7</w:t>
      </w:r>
      <w:r>
        <w:rPr>
          <w:kern w:val="0"/>
          <w:szCs w:val="21"/>
          <w:highlight w:val="none"/>
        </w:rPr>
        <w:t>.</w:t>
      </w:r>
      <w:r>
        <w:rPr>
          <w:rFonts w:hint="eastAsia"/>
          <w:kern w:val="0"/>
          <w:szCs w:val="21"/>
          <w:highlight w:val="none"/>
          <w:lang w:val="en-US" w:eastAsia="zh-CN"/>
        </w:rPr>
        <w:t>2</w:t>
      </w:r>
      <w:r>
        <w:rPr>
          <w:kern w:val="0"/>
          <w:szCs w:val="21"/>
          <w:highlight w:val="none"/>
        </w:rPr>
        <w:t>的质量要求，跨地区调种应附产地检疫合格证。农药和商品肥料应</w:t>
      </w:r>
      <w:r>
        <w:rPr>
          <w:rFonts w:hint="eastAsia"/>
          <w:kern w:val="0"/>
          <w:szCs w:val="21"/>
          <w:highlight w:val="none"/>
          <w:lang w:val="en-US" w:eastAsia="zh-CN"/>
        </w:rPr>
        <w:t>证件</w:t>
      </w:r>
      <w:r>
        <w:rPr>
          <w:kern w:val="0"/>
          <w:szCs w:val="21"/>
          <w:highlight w:val="none"/>
        </w:rPr>
        <w:t>齐全</w:t>
      </w:r>
      <w:r>
        <w:rPr>
          <w:rFonts w:hint="eastAsia"/>
          <w:kern w:val="0"/>
          <w:szCs w:val="21"/>
          <w:highlight w:val="none"/>
        </w:rPr>
        <w:t>，</w:t>
      </w:r>
      <w:r>
        <w:rPr>
          <w:kern w:val="0"/>
          <w:szCs w:val="21"/>
          <w:highlight w:val="none"/>
        </w:rPr>
        <w:t>标签清晰。优先选择可降解的农膜。</w:t>
      </w:r>
    </w:p>
    <w:p>
      <w:pPr>
        <w:widowControl/>
        <w:spacing w:before="156" w:beforeLines="50"/>
        <w:outlineLvl w:val="1"/>
        <w:rPr>
          <w:rFonts w:eastAsia="黑体"/>
          <w:kern w:val="0"/>
          <w:szCs w:val="21"/>
          <w:highlight w:val="none"/>
        </w:rPr>
      </w:pPr>
      <w:r>
        <w:rPr>
          <w:rFonts w:hint="eastAsia" w:ascii="黑体" w:hAnsi="黑体" w:eastAsia="黑体" w:cs="黑体"/>
          <w:b w:val="0"/>
          <w:bCs w:val="0"/>
          <w:kern w:val="0"/>
          <w:szCs w:val="21"/>
          <w:highlight w:val="none"/>
          <w:lang w:val="en-US" w:eastAsia="zh-CN"/>
        </w:rPr>
        <w:t>6.2</w:t>
      </w:r>
      <w:r>
        <w:rPr>
          <w:rFonts w:hint="eastAsia" w:ascii="黑体" w:hAnsi="黑体" w:eastAsia="黑体" w:cs="黑体"/>
          <w:b w:val="0"/>
          <w:bCs w:val="0"/>
          <w:kern w:val="0"/>
          <w:szCs w:val="21"/>
          <w:highlight w:val="none"/>
        </w:rPr>
        <w:t xml:space="preserve"> </w:t>
      </w:r>
      <w:r>
        <w:rPr>
          <w:rFonts w:eastAsia="黑体"/>
          <w:kern w:val="0"/>
          <w:szCs w:val="21"/>
          <w:highlight w:val="none"/>
        </w:rPr>
        <w:t xml:space="preserve"> 储存 </w:t>
      </w:r>
    </w:p>
    <w:p>
      <w:pPr>
        <w:adjustRightInd w:val="0"/>
        <w:snapToGrid w:val="0"/>
        <w:spacing w:before="156" w:beforeLines="50"/>
        <w:rPr>
          <w:kern w:val="0"/>
          <w:szCs w:val="21"/>
          <w:highlight w:val="none"/>
        </w:rPr>
      </w:pPr>
      <w:r>
        <w:rPr>
          <w:rFonts w:hint="eastAsia" w:ascii="黑体" w:hAnsi="黑体" w:eastAsia="黑体" w:cs="黑体"/>
          <w:b w:val="0"/>
          <w:bCs w:val="0"/>
          <w:kern w:val="0"/>
          <w:szCs w:val="21"/>
          <w:highlight w:val="none"/>
          <w:lang w:val="en-US" w:eastAsia="zh-CN"/>
        </w:rPr>
        <w:t>6</w:t>
      </w:r>
      <w:r>
        <w:rPr>
          <w:rFonts w:hint="eastAsia" w:ascii="黑体" w:hAnsi="黑体" w:eastAsia="黑体" w:cs="黑体"/>
          <w:b w:val="0"/>
          <w:bCs w:val="0"/>
          <w:kern w:val="0"/>
          <w:szCs w:val="21"/>
          <w:highlight w:val="none"/>
        </w:rPr>
        <w:t>.2.1</w:t>
      </w:r>
      <w:r>
        <w:rPr>
          <w:kern w:val="0"/>
          <w:szCs w:val="21"/>
          <w:highlight w:val="none"/>
        </w:rPr>
        <w:t xml:space="preserve">  不同种类的投入品</w:t>
      </w:r>
      <w:r>
        <w:rPr>
          <w:rFonts w:hint="eastAsia"/>
          <w:kern w:val="0"/>
          <w:szCs w:val="21"/>
          <w:highlight w:val="none"/>
          <w:lang w:val="en-US" w:eastAsia="zh-CN"/>
        </w:rPr>
        <w:t>应</w:t>
      </w:r>
      <w:r>
        <w:rPr>
          <w:kern w:val="0"/>
          <w:szCs w:val="21"/>
          <w:highlight w:val="none"/>
        </w:rPr>
        <w:t>按标签规定的储存条件分类存放，可采用空间物理隔离（如墙、隔板）等方式防止交叉污染</w:t>
      </w:r>
      <w:r>
        <w:rPr>
          <w:rFonts w:hint="eastAsia"/>
          <w:kern w:val="0"/>
          <w:szCs w:val="21"/>
          <w:highlight w:val="none"/>
          <w:lang w:eastAsia="zh-CN"/>
        </w:rPr>
        <w:t>，</w:t>
      </w:r>
      <w:r>
        <w:rPr>
          <w:rFonts w:hint="eastAsia"/>
          <w:kern w:val="0"/>
          <w:szCs w:val="21"/>
          <w:highlight w:val="none"/>
          <w:lang w:val="en-US" w:eastAsia="zh-CN"/>
        </w:rPr>
        <w:t>不应药肥混放</w:t>
      </w:r>
      <w:r>
        <w:rPr>
          <w:kern w:val="0"/>
          <w:szCs w:val="21"/>
          <w:highlight w:val="none"/>
        </w:rPr>
        <w:t>。</w:t>
      </w:r>
    </w:p>
    <w:p>
      <w:pPr>
        <w:adjustRightInd w:val="0"/>
        <w:snapToGrid w:val="0"/>
        <w:spacing w:before="156" w:beforeLines="50"/>
        <w:rPr>
          <w:kern w:val="0"/>
          <w:szCs w:val="21"/>
          <w:highlight w:val="none"/>
        </w:rPr>
      </w:pPr>
      <w:r>
        <w:rPr>
          <w:rFonts w:hint="eastAsia" w:ascii="黑体" w:hAnsi="黑体" w:eastAsia="黑体" w:cs="黑体"/>
          <w:b w:val="0"/>
          <w:bCs w:val="0"/>
          <w:kern w:val="0"/>
          <w:szCs w:val="21"/>
          <w:highlight w:val="none"/>
          <w:lang w:val="en-US" w:eastAsia="zh-CN"/>
        </w:rPr>
        <w:t>6.2.2</w:t>
      </w:r>
      <w:r>
        <w:rPr>
          <w:kern w:val="0"/>
          <w:szCs w:val="21"/>
          <w:highlight w:val="none"/>
        </w:rPr>
        <w:t xml:space="preserve">  储存仓库应符合清洁卫生、</w:t>
      </w:r>
      <w:r>
        <w:rPr>
          <w:rFonts w:hint="eastAsia"/>
          <w:kern w:val="0"/>
          <w:szCs w:val="21"/>
          <w:highlight w:val="none"/>
        </w:rPr>
        <w:t>防水</w:t>
      </w:r>
      <w:r>
        <w:rPr>
          <w:kern w:val="0"/>
          <w:szCs w:val="21"/>
          <w:highlight w:val="none"/>
        </w:rPr>
        <w:t>、防火、防腐、</w:t>
      </w:r>
      <w:r>
        <w:rPr>
          <w:rFonts w:hint="eastAsia"/>
          <w:kern w:val="0"/>
          <w:szCs w:val="21"/>
          <w:highlight w:val="none"/>
        </w:rPr>
        <w:t>防鼠</w:t>
      </w:r>
      <w:r>
        <w:rPr>
          <w:kern w:val="0"/>
          <w:szCs w:val="21"/>
          <w:highlight w:val="none"/>
        </w:rPr>
        <w:t>、通风、温湿度适宜等条件，并配有急救箱。</w:t>
      </w:r>
    </w:p>
    <w:p>
      <w:pPr>
        <w:adjustRightInd w:val="0"/>
        <w:snapToGrid w:val="0"/>
        <w:spacing w:before="156" w:beforeLines="50"/>
        <w:rPr>
          <w:kern w:val="0"/>
          <w:szCs w:val="21"/>
          <w:highlight w:val="none"/>
        </w:rPr>
      </w:pPr>
      <w:r>
        <w:rPr>
          <w:rFonts w:hint="eastAsia" w:ascii="黑体" w:hAnsi="黑体" w:eastAsia="黑体" w:cs="黑体"/>
          <w:b w:val="0"/>
          <w:bCs w:val="0"/>
          <w:kern w:val="0"/>
          <w:szCs w:val="21"/>
          <w:highlight w:val="none"/>
          <w:lang w:val="en-US" w:eastAsia="zh-CN"/>
        </w:rPr>
        <w:t>6.2.3</w:t>
      </w:r>
      <w:r>
        <w:rPr>
          <w:rFonts w:hint="eastAsia" w:ascii="黑体" w:hAnsi="黑体" w:eastAsia="黑体" w:cs="黑体"/>
          <w:b w:val="0"/>
          <w:bCs w:val="0"/>
          <w:kern w:val="0"/>
          <w:szCs w:val="21"/>
          <w:highlight w:val="none"/>
        </w:rPr>
        <w:t xml:space="preserve"> </w:t>
      </w:r>
      <w:r>
        <w:rPr>
          <w:kern w:val="0"/>
          <w:szCs w:val="21"/>
          <w:highlight w:val="none"/>
        </w:rPr>
        <w:t xml:space="preserve"> 仓库应封闭</w:t>
      </w:r>
      <w:r>
        <w:rPr>
          <w:rFonts w:hint="eastAsia"/>
          <w:kern w:val="0"/>
          <w:szCs w:val="21"/>
          <w:highlight w:val="none"/>
        </w:rPr>
        <w:t>且有专人</w:t>
      </w:r>
      <w:r>
        <w:rPr>
          <w:kern w:val="0"/>
          <w:szCs w:val="21"/>
          <w:highlight w:val="none"/>
        </w:rPr>
        <w:t>管理，建立入库、出库和领用</w:t>
      </w:r>
      <w:r>
        <w:rPr>
          <w:rFonts w:hint="eastAsia"/>
          <w:kern w:val="0"/>
          <w:szCs w:val="21"/>
          <w:highlight w:val="none"/>
          <w:lang w:val="en-US" w:eastAsia="zh-CN"/>
        </w:rPr>
        <w:t>台账</w:t>
      </w:r>
      <w:r>
        <w:rPr>
          <w:kern w:val="0"/>
          <w:szCs w:val="21"/>
          <w:highlight w:val="none"/>
        </w:rPr>
        <w:t>。</w:t>
      </w:r>
    </w:p>
    <w:p>
      <w:pPr>
        <w:widowControl/>
        <w:spacing w:before="156" w:beforeLines="50"/>
        <w:outlineLvl w:val="1"/>
        <w:rPr>
          <w:rFonts w:eastAsia="黑体"/>
          <w:kern w:val="0"/>
          <w:szCs w:val="21"/>
          <w:highlight w:val="none"/>
        </w:rPr>
      </w:pPr>
      <w:r>
        <w:rPr>
          <w:rFonts w:hint="eastAsia" w:ascii="黑体" w:hAnsi="黑体" w:eastAsia="黑体" w:cs="黑体"/>
          <w:b w:val="0"/>
          <w:bCs w:val="0"/>
          <w:kern w:val="0"/>
          <w:szCs w:val="21"/>
          <w:highlight w:val="none"/>
          <w:lang w:val="en-US" w:eastAsia="zh-CN"/>
        </w:rPr>
        <w:t>6.3</w:t>
      </w:r>
      <w:r>
        <w:rPr>
          <w:rFonts w:eastAsia="黑体"/>
          <w:kern w:val="0"/>
          <w:szCs w:val="21"/>
          <w:highlight w:val="none"/>
        </w:rPr>
        <w:t xml:space="preserve">  使用</w:t>
      </w:r>
    </w:p>
    <w:p>
      <w:pPr>
        <w:adjustRightInd w:val="0"/>
        <w:snapToGrid w:val="0"/>
        <w:spacing w:before="156" w:beforeLines="50"/>
        <w:rPr>
          <w:kern w:val="0"/>
          <w:szCs w:val="21"/>
          <w:highlight w:val="none"/>
        </w:rPr>
      </w:pPr>
      <w:r>
        <w:rPr>
          <w:rFonts w:hint="eastAsia" w:ascii="黑体" w:hAnsi="黑体" w:eastAsia="黑体" w:cs="黑体"/>
          <w:b w:val="0"/>
          <w:bCs w:val="0"/>
          <w:kern w:val="0"/>
          <w:szCs w:val="21"/>
          <w:highlight w:val="none"/>
          <w:lang w:val="en-US" w:eastAsia="zh-CN"/>
        </w:rPr>
        <w:t>6.3.1</w:t>
      </w:r>
      <w:r>
        <w:rPr>
          <w:kern w:val="0"/>
          <w:szCs w:val="21"/>
          <w:highlight w:val="none"/>
        </w:rPr>
        <w:t xml:space="preserve">  应遵守投入品使用要求，适时、适量、科学合理使用投入品。</w:t>
      </w:r>
    </w:p>
    <w:p>
      <w:pPr>
        <w:adjustRightInd w:val="0"/>
        <w:snapToGrid w:val="0"/>
        <w:spacing w:before="156" w:beforeLines="50"/>
        <w:rPr>
          <w:kern w:val="0"/>
          <w:szCs w:val="21"/>
          <w:highlight w:val="none"/>
        </w:rPr>
      </w:pPr>
      <w:r>
        <w:rPr>
          <w:rFonts w:hint="eastAsia" w:ascii="黑体" w:hAnsi="黑体" w:eastAsia="黑体" w:cs="黑体"/>
          <w:b w:val="0"/>
          <w:bCs w:val="0"/>
          <w:kern w:val="0"/>
          <w:szCs w:val="21"/>
          <w:highlight w:val="none"/>
          <w:lang w:val="en-US" w:eastAsia="zh-CN"/>
        </w:rPr>
        <w:t>6.3.2</w:t>
      </w:r>
      <w:r>
        <w:rPr>
          <w:rFonts w:hint="eastAsia" w:ascii="黑体" w:hAnsi="黑体" w:eastAsia="黑体" w:cs="黑体"/>
          <w:b w:val="0"/>
          <w:bCs w:val="0"/>
          <w:kern w:val="0"/>
          <w:szCs w:val="21"/>
          <w:highlight w:val="none"/>
        </w:rPr>
        <w:t xml:space="preserve"> </w:t>
      </w:r>
      <w:r>
        <w:rPr>
          <w:kern w:val="0"/>
          <w:szCs w:val="21"/>
          <w:highlight w:val="none"/>
        </w:rPr>
        <w:t xml:space="preserve"> </w:t>
      </w:r>
      <w:r>
        <w:rPr>
          <w:rFonts w:hint="eastAsia"/>
          <w:kern w:val="0"/>
          <w:szCs w:val="21"/>
          <w:highlight w:val="none"/>
          <w:lang w:val="en-US" w:eastAsia="zh-CN"/>
        </w:rPr>
        <w:t>应</w:t>
      </w:r>
      <w:r>
        <w:rPr>
          <w:kern w:val="0"/>
          <w:szCs w:val="21"/>
          <w:highlight w:val="none"/>
        </w:rPr>
        <w:t>设有农药肥料配制专用区域，并有相应的安全设施。配制区域选择在远离水源、居所、畜牧栏等场所。</w:t>
      </w:r>
    </w:p>
    <w:p>
      <w:pPr>
        <w:adjustRightInd w:val="0"/>
        <w:snapToGrid w:val="0"/>
        <w:spacing w:before="156" w:beforeLines="50"/>
        <w:rPr>
          <w:rFonts w:hint="eastAsia"/>
          <w:kern w:val="0"/>
          <w:szCs w:val="21"/>
          <w:highlight w:val="none"/>
        </w:rPr>
      </w:pPr>
      <w:r>
        <w:rPr>
          <w:rFonts w:hint="eastAsia" w:ascii="黑体" w:hAnsi="黑体" w:eastAsia="黑体" w:cs="黑体"/>
          <w:b w:val="0"/>
          <w:bCs w:val="0"/>
          <w:kern w:val="0"/>
          <w:szCs w:val="21"/>
          <w:highlight w:val="none"/>
          <w:lang w:val="en-US" w:eastAsia="zh-CN"/>
        </w:rPr>
        <w:t>6.3.3</w:t>
      </w:r>
      <w:r>
        <w:rPr>
          <w:kern w:val="0"/>
          <w:szCs w:val="21"/>
          <w:highlight w:val="none"/>
        </w:rPr>
        <w:t xml:space="preserve">  器械使用完毕，</w:t>
      </w:r>
      <w:r>
        <w:rPr>
          <w:rFonts w:hint="eastAsia"/>
          <w:kern w:val="0"/>
          <w:szCs w:val="21"/>
          <w:highlight w:val="none"/>
          <w:lang w:val="en-US" w:eastAsia="zh-CN"/>
        </w:rPr>
        <w:t>应</w:t>
      </w:r>
      <w:r>
        <w:rPr>
          <w:kern w:val="0"/>
          <w:szCs w:val="21"/>
          <w:highlight w:val="none"/>
        </w:rPr>
        <w:t>及时清洁整理，每年至少校验一次，保持良好状态。</w:t>
      </w:r>
    </w:p>
    <w:p>
      <w:pPr>
        <w:adjustRightInd w:val="0"/>
        <w:snapToGrid w:val="0"/>
        <w:spacing w:before="156" w:beforeLines="50"/>
        <w:rPr>
          <w:kern w:val="0"/>
          <w:szCs w:val="21"/>
          <w:highlight w:val="none"/>
        </w:rPr>
      </w:pPr>
      <w:r>
        <w:rPr>
          <w:rFonts w:hint="eastAsia" w:ascii="黑体" w:hAnsi="黑体" w:eastAsia="黑体" w:cs="黑体"/>
          <w:b w:val="0"/>
          <w:bCs w:val="0"/>
          <w:kern w:val="0"/>
          <w:szCs w:val="21"/>
          <w:highlight w:val="none"/>
          <w:lang w:val="en-US" w:eastAsia="zh-CN"/>
        </w:rPr>
        <w:t>6.3.4</w:t>
      </w:r>
      <w:r>
        <w:rPr>
          <w:kern w:val="0"/>
          <w:szCs w:val="21"/>
          <w:highlight w:val="none"/>
        </w:rPr>
        <w:t xml:space="preserve">  建立和保存投入品使用记录。</w:t>
      </w:r>
    </w:p>
    <w:p>
      <w:pPr>
        <w:widowControl/>
        <w:numPr>
          <w:ilvl w:val="0"/>
          <w:numId w:val="0"/>
        </w:numPr>
        <w:tabs>
          <w:tab w:val="left" w:pos="360"/>
        </w:tabs>
        <w:spacing w:before="156" w:beforeLines="50" w:line="360" w:lineRule="auto"/>
        <w:outlineLvl w:val="0"/>
        <w:rPr>
          <w:rFonts w:eastAsia="黑体"/>
          <w:kern w:val="0"/>
          <w:szCs w:val="21"/>
          <w:highlight w:val="none"/>
        </w:rPr>
      </w:pPr>
      <w:bookmarkStart w:id="31" w:name="_Toc24633"/>
      <w:r>
        <w:rPr>
          <w:rFonts w:hint="eastAsia" w:ascii="黑体" w:hAnsi="黑体" w:eastAsia="黑体" w:cs="黑体"/>
          <w:kern w:val="0"/>
          <w:szCs w:val="21"/>
          <w:highlight w:val="none"/>
          <w:lang w:val="en-US" w:eastAsia="zh-CN"/>
        </w:rPr>
        <w:t xml:space="preserve">7 </w:t>
      </w:r>
      <w:r>
        <w:rPr>
          <w:rFonts w:hint="eastAsia" w:eastAsia="黑体"/>
          <w:kern w:val="0"/>
          <w:szCs w:val="21"/>
          <w:highlight w:val="none"/>
          <w:lang w:val="en-US" w:eastAsia="zh-CN"/>
        </w:rPr>
        <w:t xml:space="preserve"> </w:t>
      </w:r>
      <w:r>
        <w:rPr>
          <w:rFonts w:eastAsia="黑体"/>
          <w:kern w:val="0"/>
          <w:szCs w:val="21"/>
          <w:highlight w:val="none"/>
        </w:rPr>
        <w:t>栽培</w:t>
      </w:r>
      <w:bookmarkEnd w:id="31"/>
    </w:p>
    <w:p>
      <w:pPr>
        <w:widowControl/>
        <w:spacing w:before="156" w:beforeLines="50"/>
        <w:outlineLvl w:val="1"/>
        <w:rPr>
          <w:rFonts w:eastAsia="黑体"/>
          <w:kern w:val="0"/>
          <w:szCs w:val="21"/>
          <w:highlight w:val="none"/>
        </w:rPr>
      </w:pPr>
      <w:r>
        <w:rPr>
          <w:rFonts w:hint="eastAsia" w:ascii="黑体" w:hAnsi="黑体" w:eastAsia="黑体" w:cs="黑体"/>
          <w:b w:val="0"/>
          <w:bCs w:val="0"/>
          <w:kern w:val="0"/>
          <w:szCs w:val="21"/>
          <w:highlight w:val="none"/>
          <w:lang w:val="en-US" w:eastAsia="zh-CN"/>
        </w:rPr>
        <w:t>7.1</w:t>
      </w:r>
      <w:r>
        <w:rPr>
          <w:rFonts w:hint="eastAsia" w:ascii="黑体" w:hAnsi="黑体" w:eastAsia="黑体" w:cs="黑体"/>
          <w:b w:val="0"/>
          <w:bCs w:val="0"/>
          <w:kern w:val="0"/>
          <w:szCs w:val="21"/>
          <w:highlight w:val="none"/>
        </w:rPr>
        <w:t xml:space="preserve"> </w:t>
      </w:r>
      <w:r>
        <w:rPr>
          <w:rFonts w:eastAsia="黑体"/>
          <w:kern w:val="0"/>
          <w:szCs w:val="21"/>
          <w:highlight w:val="none"/>
        </w:rPr>
        <w:t xml:space="preserve"> 整地</w:t>
      </w:r>
    </w:p>
    <w:p>
      <w:pPr>
        <w:pStyle w:val="13"/>
        <w:spacing w:before="156" w:beforeLines="50"/>
        <w:ind w:firstLineChars="200"/>
        <w:rPr>
          <w:rFonts w:hint="eastAsia" w:ascii="Times New Roman" w:hAnsi="Times New Roman" w:eastAsia="宋体" w:cs="Times New Roman"/>
          <w:szCs w:val="21"/>
          <w:highlight w:val="none"/>
          <w:lang w:val="en-US" w:eastAsia="zh-CN"/>
        </w:rPr>
      </w:pPr>
      <w:r>
        <w:rPr>
          <w:rFonts w:ascii="Times New Roman" w:hAnsi="Times New Roman"/>
          <w:szCs w:val="21"/>
          <w:highlight w:val="none"/>
        </w:rPr>
        <w:t>前茬作物</w:t>
      </w:r>
      <w:r>
        <w:rPr>
          <w:rFonts w:hint="eastAsia" w:ascii="Times New Roman" w:hAnsi="Times New Roman"/>
          <w:szCs w:val="21"/>
          <w:highlight w:val="none"/>
          <w:lang w:val="en-US" w:eastAsia="zh-CN"/>
        </w:rPr>
        <w:t>留茬高度不高于20 cm，收获后适时翻耕，</w:t>
      </w:r>
      <w:r>
        <w:rPr>
          <w:rFonts w:ascii="Times New Roman" w:hAnsi="Times New Roman"/>
          <w:szCs w:val="21"/>
          <w:highlight w:val="none"/>
        </w:rPr>
        <w:t>耕田深度</w:t>
      </w:r>
      <w:r>
        <w:rPr>
          <w:rFonts w:hint="eastAsia" w:ascii="Times New Roman" w:hAnsi="Times New Roman"/>
          <w:szCs w:val="21"/>
          <w:highlight w:val="none"/>
          <w:lang w:val="en-US" w:eastAsia="zh-CN"/>
        </w:rPr>
        <w:t>16 cm</w:t>
      </w:r>
      <w:r>
        <w:rPr>
          <w:rFonts w:hint="eastAsia"/>
          <w:kern w:val="0"/>
          <w:szCs w:val="21"/>
          <w:highlight w:val="none"/>
          <w:lang w:eastAsia="zh-CN"/>
        </w:rPr>
        <w:t>~</w:t>
      </w:r>
      <w:r>
        <w:rPr>
          <w:rFonts w:hint="eastAsia" w:ascii="Times New Roman" w:hAnsi="Times New Roman"/>
          <w:szCs w:val="21"/>
          <w:highlight w:val="none"/>
          <w:lang w:val="en-US" w:eastAsia="zh-CN"/>
        </w:rPr>
        <w:t xml:space="preserve">18 </w:t>
      </w:r>
      <w:r>
        <w:rPr>
          <w:rFonts w:ascii="Times New Roman" w:hAnsi="Times New Roman"/>
          <w:szCs w:val="21"/>
          <w:highlight w:val="none"/>
        </w:rPr>
        <w:t>cm，</w:t>
      </w:r>
      <w:r>
        <w:rPr>
          <w:rFonts w:hint="eastAsia" w:ascii="Times New Roman" w:hAnsi="Times New Roman" w:eastAsia="宋体" w:cs="Times New Roman"/>
          <w:szCs w:val="21"/>
          <w:highlight w:val="none"/>
        </w:rPr>
        <w:t>深浅一致，接垄准确，不重不漏，翻垡良好</w:t>
      </w:r>
      <w:r>
        <w:rPr>
          <w:rFonts w:ascii="Times New Roman" w:hAnsi="Times New Roman" w:eastAsia="宋体" w:cs="Times New Roman"/>
          <w:szCs w:val="21"/>
          <w:highlight w:val="none"/>
        </w:rPr>
        <w:t>。</w:t>
      </w:r>
      <w:r>
        <w:rPr>
          <w:rFonts w:hint="eastAsia" w:ascii="Times New Roman" w:hAnsi="Times New Roman" w:eastAsia="宋体" w:cs="Times New Roman"/>
          <w:szCs w:val="21"/>
          <w:highlight w:val="none"/>
          <w:lang w:val="en-US" w:eastAsia="zh-CN"/>
        </w:rPr>
        <w:t>翻后应进行旋耕，</w:t>
      </w:r>
      <w:r>
        <w:rPr>
          <w:rFonts w:hint="eastAsia" w:ascii="Times New Roman" w:hAnsi="Times New Roman" w:eastAsia="宋体" w:cs="Times New Roman"/>
          <w:szCs w:val="21"/>
          <w:highlight w:val="none"/>
        </w:rPr>
        <w:t>旋耕深度10</w:t>
      </w:r>
      <w:r>
        <w:rPr>
          <w:rFonts w:hint="eastAsia" w:ascii="Times New Roman" w:hAnsi="Times New Roman" w:eastAsia="宋体" w:cs="Times New Roman"/>
          <w:szCs w:val="21"/>
          <w:highlight w:val="none"/>
          <w:lang w:val="en-US" w:eastAsia="zh-CN"/>
        </w:rPr>
        <w:t>cm~</w:t>
      </w:r>
      <w:r>
        <w:rPr>
          <w:rFonts w:hint="eastAsia" w:ascii="Times New Roman" w:hAnsi="Times New Roman" w:eastAsia="宋体" w:cs="Times New Roman"/>
          <w:szCs w:val="21"/>
          <w:highlight w:val="none"/>
        </w:rPr>
        <w:t>12cm</w:t>
      </w:r>
      <w:r>
        <w:rPr>
          <w:rFonts w:hint="eastAsia" w:ascii="Times New Roman" w:hAnsi="Times New Roman" w:eastAsia="宋体" w:cs="Times New Roman"/>
          <w:szCs w:val="21"/>
          <w:highlight w:val="none"/>
          <w:lang w:eastAsia="zh-CN"/>
        </w:rPr>
        <w:t>，</w:t>
      </w:r>
      <w:r>
        <w:rPr>
          <w:rFonts w:hint="eastAsia" w:ascii="Times New Roman" w:hAnsi="Times New Roman" w:eastAsia="宋体" w:cs="Times New Roman"/>
          <w:szCs w:val="21"/>
          <w:highlight w:val="none"/>
        </w:rPr>
        <w:t>旋后地表平整、土块细碎，无明显草团</w:t>
      </w:r>
      <w:r>
        <w:rPr>
          <w:rFonts w:hint="eastAsia" w:ascii="Times New Roman" w:hAnsi="Times New Roman" w:eastAsia="宋体" w:cs="Times New Roman"/>
          <w:szCs w:val="21"/>
          <w:highlight w:val="none"/>
          <w:lang w:eastAsia="zh-CN"/>
        </w:rPr>
        <w:t>。</w:t>
      </w:r>
    </w:p>
    <w:p>
      <w:pPr>
        <w:widowControl/>
        <w:spacing w:before="156" w:beforeLines="50"/>
        <w:outlineLvl w:val="1"/>
        <w:rPr>
          <w:rFonts w:eastAsia="黑体"/>
          <w:kern w:val="0"/>
          <w:szCs w:val="21"/>
          <w:highlight w:val="none"/>
        </w:rPr>
      </w:pPr>
      <w:r>
        <w:rPr>
          <w:rFonts w:hint="eastAsia" w:ascii="黑体" w:hAnsi="黑体" w:eastAsia="黑体" w:cs="黑体"/>
          <w:b w:val="0"/>
          <w:bCs w:val="0"/>
          <w:kern w:val="0"/>
          <w:szCs w:val="21"/>
          <w:highlight w:val="none"/>
          <w:lang w:val="en-US" w:eastAsia="zh-CN"/>
        </w:rPr>
        <w:t>7.2</w:t>
      </w:r>
      <w:r>
        <w:rPr>
          <w:rFonts w:eastAsia="黑体"/>
          <w:kern w:val="0"/>
          <w:szCs w:val="21"/>
          <w:highlight w:val="none"/>
        </w:rPr>
        <w:t xml:space="preserve">  品种选择</w:t>
      </w:r>
    </w:p>
    <w:p>
      <w:pPr>
        <w:adjustRightInd w:val="0"/>
        <w:snapToGrid w:val="0"/>
        <w:spacing w:before="156" w:beforeLines="50"/>
        <w:ind w:firstLine="420" w:firstLineChars="200"/>
        <w:rPr>
          <w:kern w:val="0"/>
          <w:szCs w:val="21"/>
          <w:highlight w:val="none"/>
        </w:rPr>
      </w:pPr>
      <w:r>
        <w:rPr>
          <w:rFonts w:hint="eastAsia"/>
          <w:kern w:val="0"/>
          <w:szCs w:val="21"/>
          <w:highlight w:val="none"/>
          <w:lang w:val="en-US" w:eastAsia="zh-CN"/>
        </w:rPr>
        <w:t>应选择</w:t>
      </w:r>
      <w:r>
        <w:rPr>
          <w:kern w:val="0"/>
          <w:szCs w:val="21"/>
          <w:highlight w:val="none"/>
        </w:rPr>
        <w:t>通过国家或地方审定并在当地示范成功</w:t>
      </w:r>
      <w:r>
        <w:rPr>
          <w:rFonts w:hint="eastAsia"/>
          <w:kern w:val="0"/>
          <w:szCs w:val="21"/>
          <w:highlight w:val="none"/>
          <w:lang w:eastAsia="zh-CN"/>
        </w:rPr>
        <w:t>，</w:t>
      </w:r>
      <w:r>
        <w:rPr>
          <w:rFonts w:hint="eastAsia"/>
          <w:kern w:val="0"/>
          <w:szCs w:val="21"/>
          <w:highlight w:val="none"/>
          <w:lang w:val="en-US" w:eastAsia="zh-CN"/>
        </w:rPr>
        <w:t>具有高产、优质、抗逆等</w:t>
      </w:r>
      <w:r>
        <w:rPr>
          <w:rFonts w:hint="eastAsia"/>
          <w:kern w:val="0"/>
          <w:szCs w:val="21"/>
          <w:highlight w:val="none"/>
        </w:rPr>
        <w:t>特点</w:t>
      </w:r>
      <w:r>
        <w:rPr>
          <w:rFonts w:hint="eastAsia"/>
          <w:kern w:val="0"/>
          <w:szCs w:val="21"/>
          <w:highlight w:val="none"/>
          <w:lang w:val="en-US" w:eastAsia="zh-CN"/>
        </w:rPr>
        <w:t>，适宜机械化生产的品种</w:t>
      </w:r>
      <w:r>
        <w:rPr>
          <w:kern w:val="0"/>
          <w:szCs w:val="21"/>
          <w:highlight w:val="none"/>
        </w:rPr>
        <w:t>。</w:t>
      </w:r>
    </w:p>
    <w:p>
      <w:pPr>
        <w:widowControl/>
        <w:spacing w:before="156" w:beforeLines="50"/>
        <w:outlineLvl w:val="1"/>
        <w:rPr>
          <w:rFonts w:eastAsia="黑体"/>
          <w:kern w:val="0"/>
          <w:szCs w:val="21"/>
          <w:highlight w:val="none"/>
        </w:rPr>
      </w:pPr>
      <w:r>
        <w:rPr>
          <w:rFonts w:hint="eastAsia" w:ascii="黑体" w:hAnsi="黑体" w:eastAsia="黑体" w:cs="黑体"/>
          <w:b w:val="0"/>
          <w:bCs w:val="0"/>
          <w:kern w:val="0"/>
          <w:szCs w:val="21"/>
          <w:highlight w:val="none"/>
          <w:lang w:val="en-US" w:eastAsia="zh-CN"/>
        </w:rPr>
        <w:t>7.3</w:t>
      </w:r>
      <w:r>
        <w:rPr>
          <w:rFonts w:eastAsia="黑体"/>
          <w:kern w:val="0"/>
          <w:szCs w:val="21"/>
          <w:highlight w:val="none"/>
        </w:rPr>
        <w:t xml:space="preserve">  种子处理</w:t>
      </w:r>
    </w:p>
    <w:p>
      <w:pPr>
        <w:keepNext w:val="0"/>
        <w:keepLines w:val="0"/>
        <w:pageBreakBefore w:val="0"/>
        <w:widowControl w:val="0"/>
        <w:kinsoku/>
        <w:wordWrap/>
        <w:overflowPunct/>
        <w:topLinePunct w:val="0"/>
        <w:autoSpaceDE/>
        <w:autoSpaceDN/>
        <w:bidi w:val="0"/>
        <w:adjustRightInd/>
        <w:snapToGrid/>
        <w:spacing w:before="156" w:beforeLines="50"/>
        <w:ind w:firstLine="420"/>
        <w:textAlignment w:val="auto"/>
        <w:outlineLvl w:val="3"/>
        <w:rPr>
          <w:rFonts w:hint="eastAsia" w:ascii="Times New Roman" w:hAnsi="Times New Roman" w:cs="Times New Roman"/>
          <w:kern w:val="0"/>
          <w:szCs w:val="21"/>
          <w:highlight w:val="none"/>
          <w:lang w:val="en-US" w:eastAsia="zh-CN"/>
        </w:rPr>
      </w:pPr>
      <w:r>
        <w:rPr>
          <w:rFonts w:hint="eastAsia"/>
          <w:kern w:val="0"/>
          <w:szCs w:val="21"/>
          <w:highlight w:val="none"/>
          <w:lang w:val="en-US" w:eastAsia="zh-CN"/>
        </w:rPr>
        <w:t>宜</w:t>
      </w:r>
      <w:r>
        <w:rPr>
          <w:rFonts w:hint="eastAsia"/>
          <w:kern w:val="0"/>
          <w:szCs w:val="21"/>
          <w:highlight w:val="none"/>
        </w:rPr>
        <w:t>根据当地病虫害</w:t>
      </w:r>
      <w:r>
        <w:rPr>
          <w:rFonts w:hint="eastAsia"/>
          <w:kern w:val="0"/>
          <w:szCs w:val="21"/>
          <w:highlight w:val="none"/>
          <w:lang w:val="en-US" w:eastAsia="zh-CN"/>
        </w:rPr>
        <w:t>和自然灾害</w:t>
      </w:r>
      <w:r>
        <w:rPr>
          <w:rFonts w:hint="eastAsia"/>
          <w:kern w:val="0"/>
          <w:szCs w:val="21"/>
          <w:highlight w:val="none"/>
        </w:rPr>
        <w:t>发生特点</w:t>
      </w:r>
      <w:r>
        <w:rPr>
          <w:kern w:val="0"/>
          <w:szCs w:val="21"/>
          <w:highlight w:val="none"/>
        </w:rPr>
        <w:t>采用药剂浸种</w:t>
      </w:r>
      <w:r>
        <w:rPr>
          <w:rFonts w:hint="eastAsia"/>
          <w:kern w:val="0"/>
          <w:szCs w:val="21"/>
          <w:highlight w:val="none"/>
        </w:rPr>
        <w:t>或</w:t>
      </w:r>
      <w:r>
        <w:rPr>
          <w:kern w:val="0"/>
          <w:szCs w:val="21"/>
          <w:highlight w:val="none"/>
        </w:rPr>
        <w:t>拌种。</w:t>
      </w:r>
      <w:r>
        <w:rPr>
          <w:rFonts w:hint="eastAsia"/>
          <w:kern w:val="0"/>
          <w:szCs w:val="21"/>
          <w:highlight w:val="none"/>
        </w:rPr>
        <w:t>药剂浸种时间</w:t>
      </w:r>
      <w:r>
        <w:rPr>
          <w:rFonts w:hint="eastAsia"/>
          <w:kern w:val="0"/>
          <w:szCs w:val="21"/>
          <w:highlight w:val="none"/>
          <w:lang w:val="en-US" w:eastAsia="zh-CN"/>
        </w:rPr>
        <w:t>应达到4</w:t>
      </w:r>
      <w:r>
        <w:rPr>
          <w:kern w:val="0"/>
          <w:szCs w:val="21"/>
          <w:highlight w:val="none"/>
        </w:rPr>
        <w:t xml:space="preserve"> h</w:t>
      </w:r>
      <w:r>
        <w:rPr>
          <w:rFonts w:hint="eastAsia"/>
          <w:kern w:val="0"/>
          <w:szCs w:val="21"/>
          <w:highlight w:val="none"/>
          <w:lang w:eastAsia="zh-CN"/>
        </w:rPr>
        <w:t>~</w:t>
      </w:r>
      <w:r>
        <w:rPr>
          <w:rFonts w:hint="eastAsia"/>
          <w:kern w:val="0"/>
          <w:szCs w:val="21"/>
          <w:highlight w:val="none"/>
          <w:lang w:val="en-US" w:eastAsia="zh-CN"/>
        </w:rPr>
        <w:t>6</w:t>
      </w:r>
      <w:r>
        <w:rPr>
          <w:kern w:val="0"/>
          <w:szCs w:val="21"/>
          <w:highlight w:val="none"/>
        </w:rPr>
        <w:t>h</w:t>
      </w:r>
      <w:r>
        <w:rPr>
          <w:rFonts w:hint="eastAsia"/>
          <w:kern w:val="0"/>
          <w:szCs w:val="21"/>
          <w:highlight w:val="none"/>
        </w:rPr>
        <w:t>，包衣时将种子与调好的药液充分混匀，确保种子均匀着药</w:t>
      </w:r>
      <w:r>
        <w:rPr>
          <w:rFonts w:hint="eastAsia"/>
          <w:kern w:val="0"/>
          <w:szCs w:val="21"/>
          <w:highlight w:val="none"/>
          <w:lang w:eastAsia="zh-CN"/>
        </w:rPr>
        <w:t>，</w:t>
      </w:r>
      <w:r>
        <w:rPr>
          <w:rFonts w:hint="eastAsia"/>
        </w:rPr>
        <w:t>捞出后摊薄晾晒于阴凉通风处</w:t>
      </w:r>
      <w:r>
        <w:rPr>
          <w:rFonts w:hint="eastAsia"/>
          <w:kern w:val="0"/>
          <w:szCs w:val="21"/>
          <w:highlight w:val="none"/>
        </w:rPr>
        <w:t>。</w:t>
      </w:r>
      <w:r>
        <w:rPr>
          <w:rFonts w:hint="eastAsia" w:ascii="Times New Roman" w:hAnsi="Times New Roman" w:cs="Times New Roman"/>
          <w:kern w:val="0"/>
          <w:szCs w:val="21"/>
          <w:highlight w:val="none"/>
          <w:lang w:val="en-US" w:eastAsia="zh-CN"/>
        </w:rPr>
        <w:t>播期迟的晚茬口，宜视播期、天气等综合因素适当增加浸种时间。</w:t>
      </w:r>
    </w:p>
    <w:p>
      <w:pPr>
        <w:widowControl/>
        <w:spacing w:before="156" w:beforeLines="50"/>
        <w:outlineLvl w:val="1"/>
        <w:rPr>
          <w:rFonts w:eastAsia="黑体"/>
          <w:kern w:val="0"/>
          <w:szCs w:val="21"/>
          <w:highlight w:val="none"/>
        </w:rPr>
      </w:pPr>
      <w:r>
        <w:rPr>
          <w:rFonts w:hint="eastAsia" w:ascii="黑体" w:hAnsi="黑体" w:eastAsia="黑体" w:cs="黑体"/>
          <w:b w:val="0"/>
          <w:bCs w:val="0"/>
          <w:kern w:val="0"/>
          <w:szCs w:val="21"/>
          <w:highlight w:val="none"/>
          <w:lang w:val="en-US" w:eastAsia="zh-CN"/>
        </w:rPr>
        <w:t>7.4</w:t>
      </w:r>
      <w:r>
        <w:rPr>
          <w:rFonts w:eastAsia="黑体"/>
          <w:kern w:val="0"/>
          <w:szCs w:val="21"/>
          <w:highlight w:val="none"/>
        </w:rPr>
        <w:t xml:space="preserve">  </w:t>
      </w:r>
      <w:r>
        <w:rPr>
          <w:rFonts w:hint="eastAsia" w:eastAsia="黑体"/>
          <w:kern w:val="0"/>
          <w:szCs w:val="21"/>
          <w:highlight w:val="none"/>
          <w:lang w:val="en-US" w:eastAsia="zh-CN"/>
        </w:rPr>
        <w:t>直播</w:t>
      </w:r>
    </w:p>
    <w:p>
      <w:pPr>
        <w:widowControl/>
        <w:spacing w:before="156" w:beforeLines="50"/>
        <w:outlineLvl w:val="3"/>
        <w:rPr>
          <w:kern w:val="0"/>
          <w:szCs w:val="21"/>
          <w:highlight w:val="none"/>
        </w:rPr>
      </w:pPr>
      <w:r>
        <w:rPr>
          <w:rFonts w:hint="eastAsia" w:ascii="黑体" w:hAnsi="黑体" w:eastAsia="黑体" w:cs="黑体"/>
          <w:b w:val="0"/>
          <w:bCs w:val="0"/>
          <w:kern w:val="0"/>
          <w:szCs w:val="21"/>
          <w:highlight w:val="none"/>
          <w:lang w:val="en-US" w:eastAsia="zh-CN"/>
        </w:rPr>
        <w:t>7.4.1</w:t>
      </w:r>
      <w:r>
        <w:rPr>
          <w:kern w:val="0"/>
          <w:szCs w:val="21"/>
          <w:highlight w:val="none"/>
        </w:rPr>
        <w:t xml:space="preserve">  </w:t>
      </w:r>
      <w:r>
        <w:rPr>
          <w:rFonts w:hint="eastAsia"/>
          <w:kern w:val="0"/>
          <w:szCs w:val="21"/>
          <w:highlight w:val="none"/>
          <w:lang w:val="en-US" w:eastAsia="zh-CN"/>
        </w:rPr>
        <w:t>应在前茬作物收割后及时进行播种。苏中苏北地区宜在10月25日前完成播种，苏南地区宜在10月底前完成播种</w:t>
      </w:r>
      <w:r>
        <w:rPr>
          <w:kern w:val="0"/>
          <w:szCs w:val="21"/>
          <w:highlight w:val="none"/>
        </w:rPr>
        <w:t>。</w:t>
      </w:r>
    </w:p>
    <w:p>
      <w:pPr>
        <w:widowControl/>
        <w:spacing w:before="156" w:beforeLines="50"/>
        <w:outlineLvl w:val="3"/>
        <w:rPr>
          <w:rFonts w:hint="eastAsia" w:eastAsia="宋体"/>
          <w:kern w:val="0"/>
          <w:szCs w:val="21"/>
          <w:highlight w:val="none"/>
          <w:lang w:eastAsia="zh-CN"/>
        </w:rPr>
      </w:pPr>
      <w:r>
        <w:rPr>
          <w:rFonts w:hint="eastAsia" w:ascii="黑体" w:hAnsi="黑体" w:eastAsia="黑体" w:cs="黑体"/>
          <w:b w:val="0"/>
          <w:bCs w:val="0"/>
          <w:kern w:val="0"/>
          <w:szCs w:val="21"/>
          <w:highlight w:val="none"/>
          <w:lang w:val="en-US" w:eastAsia="zh-CN"/>
        </w:rPr>
        <w:t>7.4.2</w:t>
      </w:r>
      <w:r>
        <w:rPr>
          <w:rFonts w:hint="eastAsia" w:ascii="黑体" w:hAnsi="黑体" w:eastAsia="黑体" w:cs="黑体"/>
          <w:b w:val="0"/>
          <w:bCs w:val="0"/>
          <w:kern w:val="0"/>
          <w:szCs w:val="21"/>
          <w:highlight w:val="none"/>
        </w:rPr>
        <w:t xml:space="preserve"> </w:t>
      </w:r>
      <w:r>
        <w:rPr>
          <w:kern w:val="0"/>
          <w:szCs w:val="21"/>
          <w:highlight w:val="none"/>
        </w:rPr>
        <w:t xml:space="preserve"> </w:t>
      </w:r>
      <w:r>
        <w:rPr>
          <w:rFonts w:hint="eastAsia"/>
          <w:kern w:val="0"/>
          <w:szCs w:val="21"/>
          <w:highlight w:val="none"/>
          <w:lang w:val="en-US" w:eastAsia="zh-CN"/>
        </w:rPr>
        <w:t>应</w:t>
      </w:r>
      <w:r>
        <w:rPr>
          <w:kern w:val="0"/>
          <w:szCs w:val="21"/>
          <w:highlight w:val="none"/>
        </w:rPr>
        <w:t>根据</w:t>
      </w:r>
      <w:r>
        <w:rPr>
          <w:rFonts w:hint="eastAsia"/>
          <w:kern w:val="0"/>
          <w:szCs w:val="21"/>
          <w:highlight w:val="none"/>
        </w:rPr>
        <w:t>产量要求、</w:t>
      </w:r>
      <w:r>
        <w:rPr>
          <w:kern w:val="0"/>
          <w:szCs w:val="21"/>
          <w:highlight w:val="none"/>
        </w:rPr>
        <w:t>品种</w:t>
      </w:r>
      <w:r>
        <w:rPr>
          <w:rFonts w:hint="eastAsia"/>
          <w:kern w:val="0"/>
          <w:szCs w:val="21"/>
          <w:highlight w:val="none"/>
        </w:rPr>
        <w:t>类型和</w:t>
      </w:r>
      <w:r>
        <w:rPr>
          <w:rFonts w:hint="eastAsia"/>
          <w:kern w:val="0"/>
          <w:szCs w:val="21"/>
          <w:highlight w:val="none"/>
          <w:lang w:val="en-US" w:eastAsia="zh-CN"/>
        </w:rPr>
        <w:t>播种时间</w:t>
      </w:r>
      <w:r>
        <w:rPr>
          <w:rFonts w:hint="eastAsia"/>
          <w:kern w:val="0"/>
          <w:szCs w:val="21"/>
          <w:highlight w:val="none"/>
        </w:rPr>
        <w:t>，</w:t>
      </w:r>
      <w:r>
        <w:rPr>
          <w:kern w:val="0"/>
          <w:szCs w:val="21"/>
          <w:highlight w:val="none"/>
        </w:rPr>
        <w:t>确定具体的播种量</w:t>
      </w:r>
      <w:r>
        <w:rPr>
          <w:rFonts w:hint="eastAsia"/>
          <w:kern w:val="0"/>
          <w:szCs w:val="21"/>
          <w:highlight w:val="none"/>
          <w:lang w:eastAsia="zh-CN"/>
        </w:rPr>
        <w:t>。</w:t>
      </w:r>
      <w:r>
        <w:rPr>
          <w:rFonts w:hint="eastAsia"/>
          <w:kern w:val="0"/>
          <w:szCs w:val="21"/>
          <w:highlight w:val="none"/>
          <w:lang w:val="en-US" w:eastAsia="zh-CN"/>
        </w:rPr>
        <w:t xml:space="preserve">一般播种量为每666.7 </w:t>
      </w:r>
      <w:r>
        <w:rPr>
          <w:kern w:val="0"/>
          <w:szCs w:val="21"/>
        </w:rPr>
        <w:t>m</w:t>
      </w:r>
      <w:r>
        <w:rPr>
          <w:kern w:val="0"/>
          <w:szCs w:val="21"/>
          <w:vertAlign w:val="superscript"/>
        </w:rPr>
        <w:t>2</w:t>
      </w:r>
      <w:r>
        <w:rPr>
          <w:rFonts w:hint="eastAsia"/>
          <w:kern w:val="0"/>
          <w:szCs w:val="21"/>
          <w:vertAlign w:val="superscript"/>
          <w:lang w:val="en-US" w:eastAsia="zh-CN"/>
        </w:rPr>
        <w:t xml:space="preserve"> </w:t>
      </w:r>
      <w:r>
        <w:rPr>
          <w:rFonts w:hint="eastAsia"/>
          <w:highlight w:val="none"/>
        </w:rPr>
        <w:t>0.15</w:t>
      </w:r>
      <w:r>
        <w:rPr>
          <w:rFonts w:hint="eastAsia" w:ascii="Times New Roman" w:hAnsi="Times New Roman" w:eastAsia="宋体" w:cs="Times New Roman"/>
          <w:szCs w:val="21"/>
          <w:highlight w:val="none"/>
          <w:lang w:val="en-US" w:eastAsia="zh-CN"/>
        </w:rPr>
        <w:t>~</w:t>
      </w:r>
      <w:r>
        <w:rPr>
          <w:rFonts w:hint="eastAsia"/>
          <w:highlight w:val="none"/>
        </w:rPr>
        <w:t>0.2</w:t>
      </w:r>
      <w:r>
        <w:rPr>
          <w:rFonts w:hint="eastAsia"/>
          <w:highlight w:val="none"/>
          <w:lang w:val="en-US" w:eastAsia="zh-CN"/>
        </w:rPr>
        <w:t xml:space="preserve"> </w:t>
      </w:r>
      <w:r>
        <w:rPr>
          <w:rFonts w:hint="eastAsia"/>
          <w:highlight w:val="none"/>
        </w:rPr>
        <w:t>kg</w:t>
      </w:r>
      <w:r>
        <w:rPr>
          <w:rFonts w:hint="eastAsia"/>
          <w:highlight w:val="none"/>
          <w:lang w:eastAsia="zh-CN"/>
        </w:rPr>
        <w:t>，</w:t>
      </w:r>
      <w:r>
        <w:rPr>
          <w:rFonts w:hint="eastAsia"/>
          <w:highlight w:val="none"/>
          <w:lang w:val="en-US" w:eastAsia="zh-CN"/>
        </w:rPr>
        <w:t>播种量随播期的推迟而适当增加，</w:t>
      </w:r>
      <w:r>
        <w:rPr>
          <w:rFonts w:hint="eastAsia"/>
          <w:highlight w:val="none"/>
        </w:rPr>
        <w:t>油菜亩播种量计算公式如下</w:t>
      </w:r>
      <w:r>
        <w:rPr>
          <w:rFonts w:hint="eastAsia"/>
          <w:highlight w:val="none"/>
          <w:lang w:eastAsia="zh-CN"/>
        </w:rPr>
        <w:t>：</w:t>
      </w:r>
    </w:p>
    <w:p>
      <w:pPr>
        <w:ind w:left="0" w:leftChars="0" w:firstLine="0" w:firstLineChars="0"/>
        <w:jc w:val="center"/>
        <w:rPr>
          <w:rFonts w:hint="default" w:eastAsia="宋体"/>
          <w:highlight w:val="red"/>
          <w:lang w:val="en-US" w:eastAsia="zh-CN"/>
        </w:rPr>
      </w:pPr>
      <w:r>
        <w:rPr>
          <w:rFonts w:hint="eastAsia"/>
          <w:highlight w:val="none"/>
          <w:u w:val="none"/>
          <w:lang w:val="en-US" w:eastAsia="zh-CN"/>
        </w:rPr>
        <w:t>M</w:t>
      </w:r>
      <m:oMath>
        <m:r>
          <m:rPr/>
          <w:rPr>
            <w:rFonts w:ascii="Cambria Math" w:hAnsi="Cambria Math"/>
            <w:highlight w:val="none"/>
            <w:u w:val="none"/>
            <w:lang w:val="en-US"/>
          </w:rPr>
          <m:t>=</m:t>
        </m:r>
        <m:f>
          <m:fPr>
            <m:ctrlPr>
              <w:rPr>
                <w:rFonts w:ascii="Cambria Math" w:hAnsi="Cambria Math"/>
                <w:i/>
                <w:highlight w:val="none"/>
                <w:u w:val="none"/>
                <w:lang w:val="en-US"/>
              </w:rPr>
            </m:ctrlPr>
          </m:fPr>
          <m:num>
            <m:r>
              <m:rPr/>
              <w:rPr>
                <w:rFonts w:hint="default" w:ascii="Cambria Math" w:hAnsi="Cambria Math"/>
                <w:highlight w:val="none"/>
                <w:u w:val="none"/>
                <w:lang w:val="en-US" w:eastAsia="zh-CN"/>
              </w:rPr>
              <m:t>a</m:t>
            </m:r>
            <m:r>
              <m:rPr>
                <m:sty m:val="p"/>
              </m:rPr>
              <w:rPr>
                <w:rFonts w:hint="eastAsia"/>
                <w:highlight w:val="none"/>
                <w:u w:val="none"/>
              </w:rPr>
              <m:t>×</m:t>
            </m:r>
            <m:r>
              <m:rPr>
                <m:sty m:val="p"/>
              </m:rPr>
              <w:rPr>
                <w:rFonts w:hint="default" w:ascii="Cambria Math" w:hAnsi="Cambria Math"/>
                <w:highlight w:val="none"/>
                <w:u w:val="none"/>
                <w:lang w:val="en-US" w:eastAsia="zh-CN"/>
              </w:rPr>
              <m:t>b</m:t>
            </m:r>
            <m:ctrlPr>
              <w:rPr>
                <w:rFonts w:ascii="Cambria Math" w:hAnsi="Cambria Math"/>
                <w:i/>
                <w:highlight w:val="none"/>
                <w:u w:val="none"/>
                <w:lang w:val="en-US"/>
              </w:rPr>
            </m:ctrlPr>
          </m:num>
          <m:den>
            <m:r>
              <m:rPr/>
              <w:rPr>
                <w:rFonts w:hint="default" w:ascii="Cambria Math" w:hAnsi="Cambria Math"/>
                <w:highlight w:val="none"/>
                <w:u w:val="none"/>
                <w:lang w:val="en-US" w:eastAsia="zh-CN"/>
              </w:rPr>
              <m:t>c</m:t>
            </m:r>
            <m:r>
              <m:rPr/>
              <w:rPr>
                <w:rFonts w:ascii="Cambria Math" w:hAnsi="Cambria Math"/>
                <w:highlight w:val="none"/>
                <w:u w:val="none"/>
                <w:lang w:val="en-US"/>
              </w:rPr>
              <m:t>×</m:t>
            </m:r>
            <m:r>
              <m:rPr/>
              <w:rPr>
                <w:rFonts w:hint="default" w:ascii="Cambria Math" w:hAnsi="Cambria Math"/>
                <w:highlight w:val="none"/>
                <w:u w:val="none"/>
                <w:lang w:val="en-US" w:eastAsia="zh-CN"/>
              </w:rPr>
              <m:t>d</m:t>
            </m:r>
            <m:r>
              <m:rPr/>
              <w:rPr>
                <w:rFonts w:ascii="Cambria Math" w:hAnsi="Cambria Math"/>
                <w:highlight w:val="none"/>
                <w:u w:val="none"/>
                <w:lang w:val="en-US"/>
              </w:rPr>
              <m:t>×</m:t>
            </m:r>
            <m:r>
              <m:rPr/>
              <w:rPr>
                <w:rFonts w:hint="default" w:ascii="Cambria Math" w:hAnsi="Cambria Math"/>
                <w:highlight w:val="none"/>
                <w:u w:val="none"/>
                <w:lang w:val="en-US" w:eastAsia="zh-CN"/>
              </w:rPr>
              <m:t>e</m:t>
            </m:r>
            <m:r>
              <m:rPr/>
              <w:rPr>
                <w:rFonts w:ascii="Cambria Math" w:hAnsi="Cambria Math"/>
                <w:highlight w:val="none"/>
                <w:u w:val="none"/>
                <w:lang w:val="en-US"/>
              </w:rPr>
              <m:t>×</m:t>
            </m:r>
            <m:sSup>
              <m:sSupPr>
                <m:ctrlPr>
                  <w:rPr>
                    <w:rFonts w:hint="default" w:ascii="Cambria Math" w:hAnsi="Cambria Math"/>
                    <w:i/>
                    <w:highlight w:val="none"/>
                    <w:u w:val="none"/>
                    <w:lang w:val="en-US" w:eastAsia="zh-CN"/>
                  </w:rPr>
                </m:ctrlPr>
              </m:sSupPr>
              <m:e>
                <m:r>
                  <m:rPr/>
                  <w:rPr>
                    <w:rFonts w:hint="default" w:ascii="Cambria Math" w:hAnsi="Cambria Math"/>
                    <w:highlight w:val="none"/>
                    <w:u w:val="none"/>
                    <w:lang w:val="en-US" w:eastAsia="zh-CN"/>
                  </w:rPr>
                  <m:t>10</m:t>
                </m:r>
                <m:ctrlPr>
                  <w:rPr>
                    <w:rFonts w:hint="default" w:ascii="Cambria Math" w:hAnsi="Cambria Math"/>
                    <w:i/>
                    <w:highlight w:val="none"/>
                    <w:u w:val="none"/>
                    <w:lang w:val="en-US" w:eastAsia="zh-CN"/>
                  </w:rPr>
                </m:ctrlPr>
              </m:e>
              <m:sup>
                <m:r>
                  <m:rPr/>
                  <w:rPr>
                    <w:rFonts w:hint="default" w:ascii="Cambria Math" w:hAnsi="Cambria Math"/>
                    <w:highlight w:val="none"/>
                    <w:u w:val="none"/>
                    <w:lang w:val="en-US" w:eastAsia="zh-CN"/>
                  </w:rPr>
                  <m:t>6</m:t>
                </m:r>
                <m:ctrlPr>
                  <w:rPr>
                    <w:rFonts w:hint="default" w:ascii="Cambria Math" w:hAnsi="Cambria Math"/>
                    <w:i/>
                    <w:highlight w:val="none"/>
                    <w:u w:val="none"/>
                    <w:lang w:val="en-US" w:eastAsia="zh-CN"/>
                  </w:rPr>
                </m:ctrlPr>
              </m:sup>
            </m:sSup>
            <m:ctrlPr>
              <w:rPr>
                <w:rFonts w:ascii="Cambria Math" w:hAnsi="Cambria Math"/>
                <w:i/>
                <w:highlight w:val="none"/>
                <w:u w:val="none"/>
                <w:lang w:val="en-US"/>
              </w:rPr>
            </m:ctrlPr>
          </m:den>
        </m:f>
      </m:oMath>
      <w:r>
        <w:rPr>
          <w:rFonts w:hint="eastAsia"/>
          <w:highlight w:val="none"/>
          <w:u w:val="none"/>
          <w:lang w:val="en-US" w:eastAsia="zh-CN"/>
        </w:rPr>
        <w:t xml:space="preserve"> </w:t>
      </w:r>
    </w:p>
    <w:p>
      <w:pPr>
        <w:widowControl/>
        <w:spacing w:before="156" w:beforeLines="50"/>
        <w:ind w:firstLine="420" w:firstLineChars="200"/>
        <w:outlineLvl w:val="3"/>
        <w:rPr>
          <w:rFonts w:hint="eastAsia" w:ascii="宋体" w:hAnsi="宋体" w:eastAsia="宋体" w:cs="宋体"/>
          <w:b w:val="0"/>
          <w:bCs w:val="0"/>
          <w:kern w:val="0"/>
          <w:szCs w:val="21"/>
          <w:highlight w:val="none"/>
          <w:lang w:val="en-US" w:eastAsia="zh-CN"/>
        </w:rPr>
      </w:pPr>
      <w:r>
        <w:rPr>
          <w:rFonts w:hint="eastAsia" w:ascii="宋体" w:hAnsi="宋体" w:eastAsia="宋体" w:cs="宋体"/>
          <w:b w:val="0"/>
          <w:bCs w:val="0"/>
          <w:kern w:val="0"/>
          <w:szCs w:val="21"/>
          <w:highlight w:val="none"/>
          <w:lang w:val="en-US" w:eastAsia="zh-CN"/>
        </w:rPr>
        <w:t>式中：</w:t>
      </w:r>
    </w:p>
    <w:p>
      <w:pPr>
        <w:widowControl/>
        <w:spacing w:before="156" w:beforeLines="50"/>
        <w:ind w:firstLine="420" w:firstLineChars="200"/>
        <w:outlineLvl w:val="3"/>
        <w:rPr>
          <w:rFonts w:hint="eastAsia" w:ascii="宋体" w:hAnsi="宋体" w:eastAsia="宋体" w:cs="宋体"/>
          <w:b w:val="0"/>
          <w:bCs w:val="0"/>
          <w:kern w:val="0"/>
          <w:szCs w:val="21"/>
          <w:highlight w:val="none"/>
          <w:lang w:val="en-US" w:eastAsia="zh-CN"/>
        </w:rPr>
      </w:pPr>
      <w:r>
        <w:rPr>
          <w:rFonts w:hint="eastAsia" w:ascii="宋体" w:hAnsi="宋体" w:eastAsia="宋体" w:cs="宋体"/>
          <w:b w:val="0"/>
          <w:bCs w:val="0"/>
          <w:kern w:val="0"/>
          <w:szCs w:val="21"/>
          <w:highlight w:val="none"/>
          <w:lang w:val="en-US" w:eastAsia="zh-CN"/>
        </w:rPr>
        <w:t xml:space="preserve">M </w:t>
      </w:r>
      <w:r>
        <w:rPr>
          <w:rFonts w:ascii="Times New Roman" w:eastAsia="宋体"/>
          <w:szCs w:val="20"/>
          <w:highlight w:val="none"/>
        </w:rPr>
        <w:t>——</w:t>
      </w:r>
      <w:r>
        <w:rPr>
          <w:rFonts w:hint="eastAsia" w:ascii="宋体" w:hAnsi="宋体" w:eastAsia="宋体" w:cs="宋体"/>
          <w:b w:val="0"/>
          <w:bCs w:val="0"/>
          <w:kern w:val="0"/>
          <w:szCs w:val="21"/>
          <w:highlight w:val="none"/>
          <w:lang w:val="en-US" w:eastAsia="zh-CN"/>
        </w:rPr>
        <w:t xml:space="preserve"> 播种量，单位为千克每</w:t>
      </w:r>
      <w:r>
        <w:rPr>
          <w:rFonts w:hint="eastAsia"/>
          <w:kern w:val="0"/>
          <w:szCs w:val="21"/>
          <w:highlight w:val="none"/>
          <w:lang w:val="en-US" w:eastAsia="zh-CN"/>
        </w:rPr>
        <w:t xml:space="preserve">666.7 </w:t>
      </w:r>
      <w:r>
        <w:rPr>
          <w:kern w:val="0"/>
          <w:szCs w:val="21"/>
        </w:rPr>
        <w:t>m</w:t>
      </w:r>
      <w:r>
        <w:rPr>
          <w:kern w:val="0"/>
          <w:szCs w:val="21"/>
          <w:vertAlign w:val="superscript"/>
        </w:rPr>
        <w:t>2</w:t>
      </w:r>
      <w:r>
        <w:rPr>
          <w:rFonts w:hint="eastAsia"/>
          <w:kern w:val="0"/>
          <w:szCs w:val="21"/>
          <w:vertAlign w:val="superscript"/>
          <w:lang w:val="en-US" w:eastAsia="zh-CN"/>
        </w:rPr>
        <w:t xml:space="preserve"> </w:t>
      </w:r>
      <w:r>
        <w:rPr>
          <w:rFonts w:hint="eastAsia" w:ascii="宋体" w:hAnsi="宋体" w:eastAsia="宋体" w:cs="宋体"/>
          <w:b w:val="0"/>
          <w:bCs w:val="0"/>
          <w:kern w:val="0"/>
          <w:szCs w:val="21"/>
          <w:highlight w:val="none"/>
          <w:lang w:val="en-US" w:eastAsia="zh-CN"/>
        </w:rPr>
        <w:t>（kg/</w:t>
      </w:r>
      <w:r>
        <w:rPr>
          <w:rFonts w:hint="eastAsia"/>
          <w:kern w:val="0"/>
          <w:szCs w:val="21"/>
          <w:highlight w:val="none"/>
          <w:lang w:val="en-US" w:eastAsia="zh-CN"/>
        </w:rPr>
        <w:t xml:space="preserve">666.7 </w:t>
      </w:r>
      <w:r>
        <w:rPr>
          <w:kern w:val="0"/>
          <w:szCs w:val="21"/>
        </w:rPr>
        <w:t>m</w:t>
      </w:r>
      <w:r>
        <w:rPr>
          <w:kern w:val="0"/>
          <w:szCs w:val="21"/>
          <w:vertAlign w:val="superscript"/>
        </w:rPr>
        <w:t>2</w:t>
      </w:r>
      <w:r>
        <w:rPr>
          <w:rFonts w:hint="eastAsia"/>
          <w:kern w:val="0"/>
          <w:szCs w:val="21"/>
          <w:vertAlign w:val="superscript"/>
          <w:lang w:val="en-US" w:eastAsia="zh-CN"/>
        </w:rPr>
        <w:t xml:space="preserve"> </w:t>
      </w:r>
      <w:r>
        <w:rPr>
          <w:rFonts w:hint="eastAsia" w:ascii="宋体" w:hAnsi="宋体" w:eastAsia="宋体" w:cs="宋体"/>
          <w:b w:val="0"/>
          <w:bCs w:val="0"/>
          <w:kern w:val="0"/>
          <w:szCs w:val="21"/>
          <w:highlight w:val="none"/>
          <w:lang w:val="en-US" w:eastAsia="zh-CN"/>
        </w:rPr>
        <w:t>）；</w:t>
      </w:r>
    </w:p>
    <w:p>
      <w:pPr>
        <w:widowControl/>
        <w:spacing w:before="156" w:beforeLines="50"/>
        <w:ind w:firstLine="420" w:firstLineChars="200"/>
        <w:outlineLvl w:val="3"/>
        <w:rPr>
          <w:rFonts w:hint="eastAsia" w:ascii="宋体" w:hAnsi="宋体" w:eastAsia="宋体" w:cs="宋体"/>
          <w:b w:val="0"/>
          <w:bCs w:val="0"/>
          <w:kern w:val="0"/>
          <w:szCs w:val="21"/>
          <w:highlight w:val="none"/>
          <w:lang w:val="en-US" w:eastAsia="zh-CN"/>
        </w:rPr>
      </w:pPr>
      <w:r>
        <w:rPr>
          <w:rFonts w:hint="eastAsia" w:ascii="宋体" w:hAnsi="宋体" w:eastAsia="宋体" w:cs="宋体"/>
          <w:b w:val="0"/>
          <w:bCs w:val="0"/>
          <w:kern w:val="0"/>
          <w:szCs w:val="21"/>
          <w:highlight w:val="none"/>
          <w:lang w:val="en-US" w:eastAsia="zh-CN"/>
        </w:rPr>
        <w:t xml:space="preserve">a </w:t>
      </w:r>
      <w:r>
        <w:rPr>
          <w:rFonts w:ascii="Times New Roman" w:eastAsia="宋体"/>
          <w:szCs w:val="20"/>
          <w:highlight w:val="none"/>
        </w:rPr>
        <w:t>——</w:t>
      </w:r>
      <w:r>
        <w:rPr>
          <w:rFonts w:hint="eastAsia" w:ascii="宋体" w:hAnsi="宋体" w:eastAsia="宋体" w:cs="宋体"/>
          <w:b w:val="0"/>
          <w:bCs w:val="0"/>
          <w:kern w:val="0"/>
          <w:szCs w:val="21"/>
          <w:highlight w:val="none"/>
          <w:lang w:val="en-US" w:eastAsia="zh-CN"/>
        </w:rPr>
        <w:t xml:space="preserve"> 基本苗数；</w:t>
      </w:r>
    </w:p>
    <w:p>
      <w:pPr>
        <w:widowControl/>
        <w:spacing w:before="156" w:beforeLines="50"/>
        <w:ind w:firstLine="420" w:firstLineChars="200"/>
        <w:outlineLvl w:val="3"/>
        <w:rPr>
          <w:rFonts w:hint="eastAsia" w:ascii="宋体" w:hAnsi="宋体" w:eastAsia="宋体" w:cs="宋体"/>
          <w:b w:val="0"/>
          <w:bCs w:val="0"/>
          <w:kern w:val="0"/>
          <w:szCs w:val="21"/>
          <w:highlight w:val="none"/>
          <w:lang w:val="en-US" w:eastAsia="zh-CN"/>
        </w:rPr>
      </w:pPr>
      <w:r>
        <w:rPr>
          <w:rFonts w:hint="eastAsia" w:ascii="宋体" w:hAnsi="宋体" w:eastAsia="宋体" w:cs="宋体"/>
          <w:b w:val="0"/>
          <w:bCs w:val="0"/>
          <w:kern w:val="0"/>
          <w:szCs w:val="21"/>
          <w:highlight w:val="none"/>
          <w:lang w:val="en-US" w:eastAsia="zh-CN"/>
        </w:rPr>
        <w:t xml:space="preserve">b </w:t>
      </w:r>
      <w:r>
        <w:rPr>
          <w:rFonts w:ascii="Times New Roman" w:eastAsia="宋体"/>
          <w:szCs w:val="20"/>
          <w:highlight w:val="none"/>
        </w:rPr>
        <w:t>——</w:t>
      </w:r>
      <w:r>
        <w:rPr>
          <w:rFonts w:hint="eastAsia" w:ascii="宋体" w:hAnsi="宋体" w:eastAsia="宋体" w:cs="宋体"/>
          <w:b w:val="0"/>
          <w:bCs w:val="0"/>
          <w:kern w:val="0"/>
          <w:szCs w:val="21"/>
          <w:highlight w:val="none"/>
          <w:lang w:val="en-US" w:eastAsia="zh-CN"/>
        </w:rPr>
        <w:t xml:space="preserve"> 千粒重，单位为克（g）；</w:t>
      </w:r>
    </w:p>
    <w:p>
      <w:pPr>
        <w:widowControl/>
        <w:spacing w:before="156" w:beforeLines="50"/>
        <w:ind w:firstLine="420" w:firstLineChars="200"/>
        <w:outlineLvl w:val="3"/>
        <w:rPr>
          <w:rFonts w:hint="eastAsia" w:ascii="宋体" w:hAnsi="宋体" w:eastAsia="宋体" w:cs="宋体"/>
          <w:b w:val="0"/>
          <w:bCs w:val="0"/>
          <w:kern w:val="0"/>
          <w:szCs w:val="21"/>
          <w:highlight w:val="none"/>
          <w:lang w:val="en-US" w:eastAsia="zh-CN"/>
        </w:rPr>
      </w:pPr>
      <w:r>
        <w:rPr>
          <w:rFonts w:hint="eastAsia" w:ascii="宋体" w:hAnsi="宋体" w:eastAsia="宋体" w:cs="宋体"/>
          <w:b w:val="0"/>
          <w:bCs w:val="0"/>
          <w:kern w:val="0"/>
          <w:szCs w:val="21"/>
          <w:highlight w:val="none"/>
          <w:lang w:val="en-US" w:eastAsia="zh-CN"/>
        </w:rPr>
        <w:t xml:space="preserve">c </w:t>
      </w:r>
      <w:r>
        <w:rPr>
          <w:rFonts w:ascii="Times New Roman" w:eastAsia="宋体"/>
          <w:szCs w:val="20"/>
          <w:highlight w:val="none"/>
        </w:rPr>
        <w:t>——</w:t>
      </w:r>
      <w:r>
        <w:rPr>
          <w:rFonts w:hint="eastAsia" w:ascii="宋体" w:hAnsi="宋体" w:eastAsia="宋体" w:cs="宋体"/>
          <w:b w:val="0"/>
          <w:bCs w:val="0"/>
          <w:kern w:val="0"/>
          <w:szCs w:val="21"/>
          <w:highlight w:val="none"/>
          <w:lang w:val="en-US" w:eastAsia="zh-CN"/>
        </w:rPr>
        <w:t xml:space="preserve"> 净度；</w:t>
      </w:r>
    </w:p>
    <w:p>
      <w:pPr>
        <w:widowControl/>
        <w:spacing w:before="156" w:beforeLines="50"/>
        <w:ind w:firstLine="420" w:firstLineChars="200"/>
        <w:outlineLvl w:val="3"/>
        <w:rPr>
          <w:rFonts w:hint="eastAsia" w:ascii="宋体" w:hAnsi="宋体" w:eastAsia="宋体" w:cs="宋体"/>
          <w:b w:val="0"/>
          <w:bCs w:val="0"/>
          <w:kern w:val="0"/>
          <w:szCs w:val="21"/>
          <w:highlight w:val="none"/>
          <w:lang w:val="en-US" w:eastAsia="zh-CN"/>
        </w:rPr>
      </w:pPr>
      <w:r>
        <w:rPr>
          <w:rFonts w:hint="eastAsia" w:ascii="宋体" w:hAnsi="宋体" w:eastAsia="宋体" w:cs="宋体"/>
          <w:b w:val="0"/>
          <w:bCs w:val="0"/>
          <w:kern w:val="0"/>
          <w:szCs w:val="21"/>
          <w:highlight w:val="none"/>
          <w:lang w:val="en-US" w:eastAsia="zh-CN"/>
        </w:rPr>
        <w:t xml:space="preserve">d </w:t>
      </w:r>
      <w:r>
        <w:rPr>
          <w:rFonts w:ascii="Times New Roman" w:eastAsia="宋体"/>
          <w:szCs w:val="20"/>
          <w:highlight w:val="none"/>
        </w:rPr>
        <w:t>——</w:t>
      </w:r>
      <w:r>
        <w:rPr>
          <w:rFonts w:hint="eastAsia" w:ascii="宋体" w:hAnsi="宋体" w:eastAsia="宋体" w:cs="宋体"/>
          <w:b w:val="0"/>
          <w:bCs w:val="0"/>
          <w:kern w:val="0"/>
          <w:szCs w:val="21"/>
          <w:highlight w:val="none"/>
          <w:lang w:val="en-US" w:eastAsia="zh-CN"/>
        </w:rPr>
        <w:t xml:space="preserve"> 发芽率；</w:t>
      </w:r>
      <w:bookmarkStart w:id="38" w:name="_GoBack"/>
      <w:bookmarkEnd w:id="38"/>
    </w:p>
    <w:p>
      <w:pPr>
        <w:widowControl/>
        <w:spacing w:before="156" w:beforeLines="50"/>
        <w:ind w:firstLine="420" w:firstLineChars="200"/>
        <w:outlineLvl w:val="3"/>
        <w:rPr>
          <w:rFonts w:hint="eastAsia" w:ascii="宋体" w:hAnsi="宋体" w:eastAsia="宋体" w:cs="宋体"/>
          <w:b w:val="0"/>
          <w:bCs w:val="0"/>
          <w:kern w:val="0"/>
          <w:szCs w:val="21"/>
          <w:highlight w:val="none"/>
          <w:lang w:val="en-US" w:eastAsia="zh-CN"/>
        </w:rPr>
      </w:pPr>
      <w:r>
        <w:rPr>
          <w:rFonts w:hint="eastAsia" w:ascii="宋体" w:hAnsi="宋体" w:eastAsia="宋体" w:cs="宋体"/>
          <w:b w:val="0"/>
          <w:bCs w:val="0"/>
          <w:kern w:val="0"/>
          <w:szCs w:val="21"/>
          <w:highlight w:val="none"/>
          <w:lang w:val="en-US" w:eastAsia="zh-CN"/>
        </w:rPr>
        <w:t xml:space="preserve">e </w:t>
      </w:r>
      <w:r>
        <w:rPr>
          <w:rFonts w:ascii="Times New Roman" w:eastAsia="宋体"/>
          <w:szCs w:val="20"/>
          <w:highlight w:val="none"/>
        </w:rPr>
        <w:t>——</w:t>
      </w:r>
      <w:r>
        <w:rPr>
          <w:rFonts w:hint="eastAsia" w:ascii="宋体" w:hAnsi="宋体" w:eastAsia="宋体" w:cs="宋体"/>
          <w:b w:val="0"/>
          <w:bCs w:val="0"/>
          <w:kern w:val="0"/>
          <w:szCs w:val="21"/>
          <w:highlight w:val="none"/>
          <w:lang w:val="en-US" w:eastAsia="zh-CN"/>
        </w:rPr>
        <w:t xml:space="preserve"> 田间出苗率；</w:t>
      </w:r>
    </w:p>
    <w:p>
      <w:pPr>
        <w:widowControl/>
        <w:spacing w:before="156" w:beforeLines="50"/>
        <w:outlineLvl w:val="3"/>
        <w:rPr>
          <w:kern w:val="0"/>
          <w:szCs w:val="21"/>
          <w:highlight w:val="none"/>
        </w:rPr>
      </w:pPr>
      <w:r>
        <w:rPr>
          <w:rFonts w:hint="eastAsia" w:ascii="黑体" w:hAnsi="黑体" w:eastAsia="黑体" w:cs="黑体"/>
          <w:b w:val="0"/>
          <w:bCs w:val="0"/>
          <w:kern w:val="0"/>
          <w:szCs w:val="21"/>
          <w:highlight w:val="none"/>
          <w:lang w:val="en-US" w:eastAsia="zh-CN"/>
        </w:rPr>
        <w:t>7.4.3</w:t>
      </w:r>
      <w:r>
        <w:rPr>
          <w:kern w:val="0"/>
          <w:szCs w:val="21"/>
          <w:highlight w:val="none"/>
        </w:rPr>
        <w:t xml:space="preserve">  </w:t>
      </w:r>
      <w:r>
        <w:rPr>
          <w:rFonts w:hint="eastAsia"/>
          <w:kern w:val="0"/>
          <w:szCs w:val="21"/>
          <w:highlight w:val="none"/>
          <w:lang w:val="en-US" w:eastAsia="zh-CN"/>
        </w:rPr>
        <w:t>播种行距30 cm</w:t>
      </w:r>
      <w:r>
        <w:rPr>
          <w:rFonts w:hint="eastAsia" w:ascii="Times New Roman" w:hAnsi="Times New Roman" w:eastAsia="宋体" w:cs="Times New Roman"/>
          <w:szCs w:val="21"/>
          <w:highlight w:val="none"/>
          <w:lang w:val="en-US" w:eastAsia="zh-CN"/>
        </w:rPr>
        <w:t>~</w:t>
      </w:r>
      <w:r>
        <w:rPr>
          <w:rFonts w:hint="eastAsia"/>
          <w:kern w:val="0"/>
          <w:szCs w:val="21"/>
          <w:highlight w:val="none"/>
          <w:lang w:val="en-US" w:eastAsia="zh-CN"/>
        </w:rPr>
        <w:t>40cm，深度1 cm</w:t>
      </w:r>
      <w:r>
        <w:rPr>
          <w:rFonts w:hint="eastAsia" w:ascii="Times New Roman" w:hAnsi="Times New Roman" w:eastAsia="宋体" w:cs="Times New Roman"/>
          <w:szCs w:val="21"/>
          <w:highlight w:val="none"/>
          <w:lang w:val="en-US" w:eastAsia="zh-CN"/>
        </w:rPr>
        <w:t>~</w:t>
      </w:r>
      <w:r>
        <w:rPr>
          <w:rFonts w:hint="eastAsia"/>
          <w:kern w:val="0"/>
          <w:szCs w:val="21"/>
          <w:highlight w:val="none"/>
          <w:lang w:val="en-US" w:eastAsia="zh-CN"/>
        </w:rPr>
        <w:t>2 cm，播深一致，镇压严实</w:t>
      </w:r>
      <w:r>
        <w:rPr>
          <w:kern w:val="0"/>
          <w:szCs w:val="21"/>
          <w:highlight w:val="none"/>
        </w:rPr>
        <w:t>。</w:t>
      </w:r>
      <w:r>
        <w:rPr>
          <w:rFonts w:hint="eastAsia"/>
          <w:kern w:val="0"/>
          <w:szCs w:val="21"/>
          <w:highlight w:val="none"/>
          <w:lang w:val="en-US" w:eastAsia="zh-CN"/>
        </w:rPr>
        <w:t>播种质量应符合NY/T 2709的要求，</w:t>
      </w:r>
      <w:r>
        <w:rPr>
          <w:kern w:val="0"/>
          <w:szCs w:val="21"/>
          <w:highlight w:val="none"/>
        </w:rPr>
        <w:t>出苗后及时疏密补空</w:t>
      </w:r>
      <w:r>
        <w:rPr>
          <w:rFonts w:hint="eastAsia"/>
          <w:kern w:val="0"/>
          <w:szCs w:val="21"/>
          <w:highlight w:val="none"/>
        </w:rPr>
        <w:t>补稀</w:t>
      </w:r>
      <w:r>
        <w:rPr>
          <w:kern w:val="0"/>
          <w:szCs w:val="21"/>
          <w:highlight w:val="none"/>
        </w:rPr>
        <w:t>。</w:t>
      </w:r>
    </w:p>
    <w:p>
      <w:pPr>
        <w:widowControl/>
        <w:spacing w:before="156" w:beforeLines="50"/>
        <w:outlineLvl w:val="1"/>
        <w:rPr>
          <w:rFonts w:ascii="Times New Roman" w:hAnsi="Times New Roman" w:eastAsia="黑体" w:cs="Times New Roman"/>
          <w:kern w:val="0"/>
          <w:szCs w:val="21"/>
          <w:highlight w:val="none"/>
        </w:rPr>
      </w:pPr>
      <w:r>
        <w:rPr>
          <w:rFonts w:hint="eastAsia" w:ascii="黑体" w:hAnsi="黑体" w:eastAsia="黑体" w:cs="黑体"/>
          <w:b w:val="0"/>
          <w:bCs w:val="0"/>
          <w:kern w:val="0"/>
          <w:szCs w:val="21"/>
          <w:highlight w:val="none"/>
          <w:lang w:val="en-US" w:eastAsia="zh-CN"/>
        </w:rPr>
        <w:t xml:space="preserve">7.5 </w:t>
      </w:r>
      <w:r>
        <w:rPr>
          <w:rFonts w:ascii="Times New Roman" w:hAnsi="Times New Roman" w:eastAsia="黑体" w:cs="Times New Roman"/>
          <w:kern w:val="0"/>
          <w:szCs w:val="21"/>
          <w:highlight w:val="none"/>
        </w:rPr>
        <w:t xml:space="preserve"> 育</w:t>
      </w:r>
      <w:r>
        <w:rPr>
          <w:rFonts w:hint="eastAsia" w:ascii="Times New Roman" w:hAnsi="Times New Roman" w:eastAsia="黑体" w:cs="Times New Roman"/>
          <w:kern w:val="0"/>
          <w:szCs w:val="21"/>
          <w:highlight w:val="none"/>
          <w:lang w:val="en-US" w:eastAsia="zh-CN"/>
        </w:rPr>
        <w:t>苗</w:t>
      </w:r>
      <w:r>
        <w:rPr>
          <w:rFonts w:ascii="Times New Roman" w:hAnsi="Times New Roman" w:eastAsia="黑体" w:cs="Times New Roman"/>
          <w:kern w:val="0"/>
          <w:szCs w:val="21"/>
          <w:highlight w:val="none"/>
        </w:rPr>
        <w:t>移栽</w:t>
      </w:r>
    </w:p>
    <w:p>
      <w:pPr>
        <w:widowControl/>
        <w:spacing w:before="156" w:beforeLines="50"/>
        <w:outlineLvl w:val="3"/>
        <w:rPr>
          <w:rFonts w:hint="default" w:ascii="黑体" w:hAnsi="黑体" w:eastAsia="黑体" w:cs="黑体"/>
          <w:b w:val="0"/>
          <w:bCs w:val="0"/>
          <w:kern w:val="0"/>
          <w:szCs w:val="21"/>
          <w:highlight w:val="none"/>
          <w:lang w:val="en-US" w:eastAsia="zh-CN"/>
        </w:rPr>
      </w:pPr>
      <w:r>
        <w:rPr>
          <w:rFonts w:hint="eastAsia" w:ascii="黑体" w:hAnsi="黑体" w:eastAsia="黑体" w:cs="黑体"/>
          <w:b w:val="0"/>
          <w:bCs w:val="0"/>
          <w:kern w:val="0"/>
          <w:szCs w:val="21"/>
          <w:highlight w:val="none"/>
          <w:lang w:val="en-US" w:eastAsia="zh-CN"/>
        </w:rPr>
        <w:t>7.5.1  人工移栽</w:t>
      </w:r>
    </w:p>
    <w:p>
      <w:pPr>
        <w:widowControl/>
        <w:spacing w:before="156" w:beforeLines="50"/>
        <w:outlineLvl w:val="3"/>
        <w:rPr>
          <w:kern w:val="0"/>
          <w:szCs w:val="21"/>
          <w:highlight w:val="none"/>
        </w:rPr>
      </w:pPr>
      <w:r>
        <w:rPr>
          <w:rFonts w:hint="eastAsia" w:ascii="黑体" w:hAnsi="黑体" w:eastAsia="黑体" w:cs="黑体"/>
          <w:b w:val="0"/>
          <w:bCs w:val="0"/>
          <w:kern w:val="0"/>
          <w:szCs w:val="21"/>
          <w:highlight w:val="none"/>
          <w:lang w:val="en-US" w:eastAsia="zh-CN"/>
        </w:rPr>
        <w:t>7.5.1.1</w:t>
      </w:r>
      <w:r>
        <w:rPr>
          <w:kern w:val="0"/>
          <w:szCs w:val="21"/>
          <w:highlight w:val="none"/>
        </w:rPr>
        <w:t xml:space="preserve">  </w:t>
      </w:r>
      <w:r>
        <w:rPr>
          <w:rFonts w:hint="eastAsia"/>
          <w:kern w:val="0"/>
          <w:szCs w:val="21"/>
          <w:highlight w:val="none"/>
          <w:lang w:val="en-US" w:eastAsia="zh-CN"/>
        </w:rPr>
        <w:t>苗床应选择近三年未种植十字花科作物的地（田）块育苗，苗床面积按苗床:大田=1:6</w:t>
      </w:r>
      <w:r>
        <w:rPr>
          <w:rFonts w:hint="eastAsia" w:ascii="Times New Roman" w:hAnsi="Times New Roman" w:eastAsia="宋体" w:cs="Times New Roman"/>
          <w:szCs w:val="21"/>
          <w:highlight w:val="none"/>
          <w:lang w:val="en-US" w:eastAsia="zh-CN"/>
        </w:rPr>
        <w:t>~</w:t>
      </w:r>
      <w:r>
        <w:rPr>
          <w:rFonts w:hint="eastAsia"/>
          <w:kern w:val="0"/>
          <w:szCs w:val="21"/>
          <w:highlight w:val="none"/>
          <w:lang w:val="en-US" w:eastAsia="zh-CN"/>
        </w:rPr>
        <w:t>8进行配置</w:t>
      </w:r>
      <w:r>
        <w:rPr>
          <w:kern w:val="0"/>
          <w:szCs w:val="21"/>
          <w:highlight w:val="none"/>
        </w:rPr>
        <w:t>。</w:t>
      </w:r>
    </w:p>
    <w:p>
      <w:pPr>
        <w:widowControl/>
        <w:spacing w:before="156" w:beforeLines="50"/>
        <w:outlineLvl w:val="3"/>
        <w:rPr>
          <w:rFonts w:eastAsia="黑体"/>
          <w:kern w:val="0"/>
          <w:szCs w:val="21"/>
          <w:highlight w:val="none"/>
        </w:rPr>
      </w:pPr>
      <w:r>
        <w:rPr>
          <w:rFonts w:hint="eastAsia" w:ascii="黑体" w:hAnsi="黑体" w:eastAsia="黑体" w:cs="黑体"/>
          <w:b w:val="0"/>
          <w:bCs w:val="0"/>
          <w:kern w:val="0"/>
          <w:szCs w:val="21"/>
          <w:highlight w:val="none"/>
          <w:lang w:val="en-US" w:eastAsia="zh-CN"/>
        </w:rPr>
        <w:t>7.5.1.2</w:t>
      </w:r>
      <w:r>
        <w:rPr>
          <w:kern w:val="0"/>
          <w:szCs w:val="21"/>
          <w:highlight w:val="none"/>
        </w:rPr>
        <w:t xml:space="preserve">  根据适宜移栽期推算播种期，做好分期播种，防止超龄移栽。</w:t>
      </w:r>
    </w:p>
    <w:p>
      <w:pPr>
        <w:widowControl/>
        <w:spacing w:before="156" w:beforeLines="50"/>
        <w:outlineLvl w:val="3"/>
        <w:rPr>
          <w:kern w:val="0"/>
          <w:szCs w:val="21"/>
          <w:highlight w:val="none"/>
        </w:rPr>
      </w:pPr>
      <w:r>
        <w:rPr>
          <w:rFonts w:hint="eastAsia" w:ascii="黑体" w:hAnsi="黑体" w:eastAsia="黑体" w:cs="黑体"/>
          <w:b w:val="0"/>
          <w:bCs w:val="0"/>
          <w:kern w:val="0"/>
          <w:szCs w:val="21"/>
          <w:highlight w:val="none"/>
          <w:lang w:val="en-US" w:eastAsia="zh-CN"/>
        </w:rPr>
        <w:t>7.5.1.3</w:t>
      </w:r>
      <w:r>
        <w:rPr>
          <w:kern w:val="0"/>
          <w:szCs w:val="21"/>
          <w:highlight w:val="none"/>
        </w:rPr>
        <w:t xml:space="preserve">  </w:t>
      </w:r>
      <w:r>
        <w:rPr>
          <w:rFonts w:hint="eastAsia"/>
          <w:kern w:val="0"/>
          <w:szCs w:val="21"/>
          <w:highlight w:val="none"/>
          <w:lang w:val="en-US" w:eastAsia="zh-CN"/>
        </w:rPr>
        <w:t>移苗密度应控制在每666.7</w:t>
      </w:r>
      <w:r>
        <w:rPr>
          <w:kern w:val="0"/>
          <w:szCs w:val="21"/>
          <w:highlight w:val="none"/>
        </w:rPr>
        <w:t>m</w:t>
      </w:r>
      <w:r>
        <w:rPr>
          <w:kern w:val="0"/>
          <w:szCs w:val="21"/>
          <w:highlight w:val="none"/>
          <w:vertAlign w:val="superscript"/>
        </w:rPr>
        <w:t>2</w:t>
      </w:r>
      <w:r>
        <w:rPr>
          <w:rFonts w:hint="eastAsia"/>
          <w:kern w:val="0"/>
          <w:szCs w:val="21"/>
          <w:highlight w:val="none"/>
          <w:vertAlign w:val="superscript"/>
          <w:lang w:val="en-US" w:eastAsia="zh-CN"/>
        </w:rPr>
        <w:t xml:space="preserve"> </w:t>
      </w:r>
      <w:r>
        <w:rPr>
          <w:rFonts w:hint="eastAsia"/>
          <w:kern w:val="0"/>
          <w:szCs w:val="21"/>
          <w:highlight w:val="none"/>
          <w:lang w:val="en-US" w:eastAsia="zh-CN"/>
        </w:rPr>
        <w:t>6000</w:t>
      </w:r>
      <w:r>
        <w:rPr>
          <w:rFonts w:hint="eastAsia"/>
          <w:kern w:val="0"/>
          <w:szCs w:val="21"/>
          <w:highlight w:val="none"/>
          <w:lang w:eastAsia="zh-CN"/>
        </w:rPr>
        <w:t>~</w:t>
      </w:r>
      <w:r>
        <w:rPr>
          <w:rFonts w:hint="eastAsia"/>
          <w:kern w:val="0"/>
          <w:szCs w:val="21"/>
          <w:highlight w:val="none"/>
          <w:lang w:val="en-US" w:eastAsia="zh-CN"/>
        </w:rPr>
        <w:t>8000株</w:t>
      </w:r>
      <w:r>
        <w:rPr>
          <w:rFonts w:hint="eastAsia"/>
          <w:kern w:val="0"/>
          <w:szCs w:val="21"/>
          <w:highlight w:val="none"/>
          <w:lang w:eastAsia="zh-CN"/>
        </w:rPr>
        <w:t>，</w:t>
      </w:r>
      <w:r>
        <w:rPr>
          <w:rFonts w:hint="eastAsia"/>
          <w:kern w:val="0"/>
          <w:szCs w:val="21"/>
          <w:highlight w:val="none"/>
          <w:lang w:val="en-US" w:eastAsia="zh-CN"/>
        </w:rPr>
        <w:t>根据密度选择单株或双株移栽</w:t>
      </w:r>
      <w:r>
        <w:rPr>
          <w:kern w:val="0"/>
          <w:szCs w:val="21"/>
          <w:highlight w:val="none"/>
        </w:rPr>
        <w:t>。做到行直、穴匀。</w:t>
      </w:r>
    </w:p>
    <w:p>
      <w:pPr>
        <w:widowControl/>
        <w:spacing w:before="156" w:beforeLines="50"/>
        <w:outlineLvl w:val="3"/>
        <w:rPr>
          <w:rFonts w:hint="eastAsia" w:ascii="黑体" w:hAnsi="黑体" w:eastAsia="黑体" w:cs="黑体"/>
          <w:kern w:val="0"/>
          <w:szCs w:val="21"/>
          <w:highlight w:val="none"/>
          <w:lang w:val="en-US" w:eastAsia="zh-CN"/>
        </w:rPr>
      </w:pPr>
      <w:r>
        <w:rPr>
          <w:rFonts w:hint="eastAsia" w:ascii="黑体" w:hAnsi="黑体" w:eastAsia="黑体" w:cs="黑体"/>
          <w:kern w:val="0"/>
          <w:szCs w:val="21"/>
          <w:highlight w:val="none"/>
          <w:lang w:val="en-US" w:eastAsia="zh-CN"/>
        </w:rPr>
        <w:t>7.5.2  毯苗移栽</w:t>
      </w:r>
    </w:p>
    <w:p>
      <w:pPr>
        <w:widowControl/>
        <w:spacing w:before="156" w:beforeLines="50"/>
        <w:outlineLvl w:val="3"/>
        <w:rPr>
          <w:rFonts w:hint="default" w:eastAsia="宋体"/>
          <w:kern w:val="0"/>
          <w:szCs w:val="21"/>
          <w:highlight w:val="none"/>
          <w:lang w:val="en-US" w:eastAsia="zh-CN"/>
        </w:rPr>
      </w:pPr>
      <w:r>
        <w:rPr>
          <w:rFonts w:hint="eastAsia" w:ascii="黑体" w:hAnsi="黑体" w:eastAsia="黑体" w:cs="黑体"/>
          <w:b w:val="0"/>
          <w:bCs w:val="0"/>
          <w:kern w:val="0"/>
          <w:szCs w:val="21"/>
          <w:highlight w:val="none"/>
          <w:lang w:val="en-US" w:eastAsia="zh-CN"/>
        </w:rPr>
        <w:t>7.5.2.1</w:t>
      </w:r>
      <w:r>
        <w:rPr>
          <w:rFonts w:hint="eastAsia"/>
          <w:kern w:val="0"/>
          <w:szCs w:val="21"/>
          <w:highlight w:val="none"/>
          <w:lang w:val="en-US" w:eastAsia="zh-CN"/>
        </w:rPr>
        <w:t xml:space="preserve">  可选用毯装苗移栽机进行移苗，移栽质量应符合NY/T 3887的要求。</w:t>
      </w:r>
    </w:p>
    <w:p>
      <w:pPr>
        <w:widowControl/>
        <w:spacing w:before="156" w:beforeLines="50"/>
        <w:outlineLvl w:val="3"/>
        <w:rPr>
          <w:rFonts w:hint="default" w:ascii="黑体" w:hAnsi="黑体" w:eastAsia="黑体" w:cs="黑体"/>
          <w:b w:val="0"/>
          <w:bCs w:val="0"/>
          <w:kern w:val="0"/>
          <w:szCs w:val="21"/>
          <w:highlight w:val="none"/>
          <w:lang w:val="en-US" w:eastAsia="zh-CN"/>
        </w:rPr>
      </w:pPr>
      <w:r>
        <w:rPr>
          <w:rFonts w:hint="eastAsia" w:ascii="黑体" w:hAnsi="黑体" w:eastAsia="黑体" w:cs="黑体"/>
          <w:b w:val="0"/>
          <w:bCs w:val="0"/>
          <w:kern w:val="0"/>
          <w:szCs w:val="21"/>
          <w:highlight w:val="none"/>
          <w:lang w:val="en-US" w:eastAsia="zh-CN"/>
        </w:rPr>
        <w:t xml:space="preserve">7.5.2.2  </w:t>
      </w:r>
      <w:r>
        <w:rPr>
          <w:rFonts w:hint="eastAsia"/>
          <w:kern w:val="0"/>
          <w:szCs w:val="21"/>
          <w:highlight w:val="none"/>
          <w:lang w:val="en-US" w:eastAsia="zh-CN"/>
        </w:rPr>
        <w:t>移苗密度应控制在每666.7</w:t>
      </w:r>
      <w:r>
        <w:rPr>
          <w:kern w:val="0"/>
          <w:szCs w:val="21"/>
          <w:highlight w:val="none"/>
        </w:rPr>
        <w:t>m</w:t>
      </w:r>
      <w:r>
        <w:rPr>
          <w:kern w:val="0"/>
          <w:szCs w:val="21"/>
          <w:highlight w:val="none"/>
          <w:vertAlign w:val="superscript"/>
        </w:rPr>
        <w:t>2</w:t>
      </w:r>
      <w:r>
        <w:rPr>
          <w:rFonts w:hint="eastAsia"/>
          <w:kern w:val="0"/>
          <w:szCs w:val="21"/>
          <w:highlight w:val="none"/>
          <w:vertAlign w:val="superscript"/>
          <w:lang w:val="en-US" w:eastAsia="zh-CN"/>
        </w:rPr>
        <w:t xml:space="preserve"> </w:t>
      </w:r>
      <w:r>
        <w:rPr>
          <w:rFonts w:hint="eastAsia"/>
          <w:kern w:val="0"/>
          <w:szCs w:val="21"/>
          <w:highlight w:val="none"/>
          <w:lang w:val="en-US" w:eastAsia="zh-CN"/>
        </w:rPr>
        <w:t>10000</w:t>
      </w:r>
      <w:r>
        <w:rPr>
          <w:rFonts w:hint="eastAsia"/>
          <w:kern w:val="0"/>
          <w:szCs w:val="21"/>
          <w:highlight w:val="none"/>
          <w:lang w:eastAsia="zh-CN"/>
        </w:rPr>
        <w:t>~</w:t>
      </w:r>
      <w:r>
        <w:rPr>
          <w:rFonts w:hint="eastAsia"/>
          <w:kern w:val="0"/>
          <w:szCs w:val="21"/>
          <w:highlight w:val="none"/>
          <w:lang w:val="en-US" w:eastAsia="zh-CN"/>
        </w:rPr>
        <w:t>12000穴，每穴1</w:t>
      </w:r>
      <w:r>
        <w:rPr>
          <w:rFonts w:hint="eastAsia" w:ascii="Times New Roman" w:hAnsi="Times New Roman" w:eastAsia="宋体" w:cs="Times New Roman"/>
          <w:szCs w:val="21"/>
          <w:highlight w:val="none"/>
          <w:lang w:val="en-US" w:eastAsia="zh-CN"/>
        </w:rPr>
        <w:t>~</w:t>
      </w:r>
      <w:r>
        <w:rPr>
          <w:rFonts w:hint="eastAsia"/>
          <w:kern w:val="0"/>
          <w:szCs w:val="21"/>
          <w:highlight w:val="none"/>
          <w:lang w:val="en-US" w:eastAsia="zh-CN"/>
        </w:rPr>
        <w:t>2苗。</w:t>
      </w:r>
    </w:p>
    <w:p>
      <w:pPr>
        <w:widowControl/>
        <w:spacing w:before="156" w:beforeLines="50"/>
        <w:outlineLvl w:val="3"/>
        <w:rPr>
          <w:kern w:val="0"/>
          <w:szCs w:val="21"/>
          <w:highlight w:val="none"/>
        </w:rPr>
      </w:pPr>
      <w:r>
        <w:rPr>
          <w:rFonts w:hint="eastAsia" w:ascii="黑体" w:hAnsi="黑体" w:eastAsia="黑体" w:cs="黑体"/>
          <w:b w:val="0"/>
          <w:bCs w:val="0"/>
          <w:kern w:val="0"/>
          <w:szCs w:val="21"/>
          <w:highlight w:val="none"/>
          <w:lang w:val="en-US" w:eastAsia="zh-CN"/>
        </w:rPr>
        <w:t>7.5.2.3</w:t>
      </w:r>
      <w:r>
        <w:rPr>
          <w:kern w:val="0"/>
          <w:szCs w:val="21"/>
          <w:highlight w:val="none"/>
        </w:rPr>
        <w:t xml:space="preserve">  </w:t>
      </w:r>
      <w:r>
        <w:rPr>
          <w:rFonts w:hint="eastAsia"/>
          <w:kern w:val="0"/>
          <w:szCs w:val="21"/>
          <w:highlight w:val="none"/>
          <w:lang w:val="en-US" w:eastAsia="zh-CN"/>
        </w:rPr>
        <w:t>应在移栽后5日</w:t>
      </w:r>
      <w:r>
        <w:rPr>
          <w:rFonts w:hint="eastAsia" w:ascii="Times New Roman" w:hAnsi="Times New Roman" w:eastAsia="宋体" w:cs="Times New Roman"/>
          <w:szCs w:val="21"/>
          <w:highlight w:val="none"/>
          <w:lang w:val="en-US" w:eastAsia="zh-CN"/>
        </w:rPr>
        <w:t>~</w:t>
      </w:r>
      <w:r>
        <w:rPr>
          <w:rFonts w:hint="eastAsia"/>
          <w:kern w:val="0"/>
          <w:szCs w:val="21"/>
          <w:highlight w:val="none"/>
          <w:lang w:val="en-US" w:eastAsia="zh-CN"/>
        </w:rPr>
        <w:t>7日及时进行补苗</w:t>
      </w:r>
      <w:r>
        <w:rPr>
          <w:kern w:val="0"/>
          <w:szCs w:val="21"/>
          <w:highlight w:val="none"/>
        </w:rPr>
        <w:t>。</w:t>
      </w:r>
    </w:p>
    <w:p>
      <w:pPr>
        <w:widowControl/>
        <w:spacing w:before="156" w:beforeLines="50" w:line="360" w:lineRule="auto"/>
        <w:outlineLvl w:val="0"/>
        <w:rPr>
          <w:rFonts w:hint="eastAsia" w:eastAsia="黑体"/>
          <w:kern w:val="0"/>
          <w:szCs w:val="21"/>
          <w:highlight w:val="none"/>
          <w:lang w:val="en-US" w:eastAsia="zh-CN"/>
        </w:rPr>
      </w:pPr>
      <w:bookmarkStart w:id="32" w:name="_Toc2073"/>
      <w:r>
        <w:rPr>
          <w:rFonts w:hint="eastAsia" w:ascii="黑体" w:hAnsi="黑体" w:eastAsia="黑体" w:cs="黑体"/>
          <w:b w:val="0"/>
          <w:bCs w:val="0"/>
          <w:kern w:val="0"/>
          <w:szCs w:val="21"/>
          <w:highlight w:val="none"/>
          <w:lang w:val="en-US" w:eastAsia="zh-CN"/>
        </w:rPr>
        <w:t xml:space="preserve">8  </w:t>
      </w:r>
      <w:r>
        <w:rPr>
          <w:rFonts w:hint="eastAsia" w:eastAsia="黑体"/>
          <w:kern w:val="0"/>
          <w:szCs w:val="21"/>
          <w:highlight w:val="none"/>
          <w:lang w:val="en-US" w:eastAsia="zh-CN"/>
        </w:rPr>
        <w:t>施肥</w:t>
      </w:r>
      <w:bookmarkEnd w:id="32"/>
    </w:p>
    <w:p>
      <w:pPr>
        <w:pStyle w:val="13"/>
        <w:spacing w:before="156" w:beforeLines="50"/>
        <w:ind w:firstLine="0"/>
        <w:rPr>
          <w:rFonts w:ascii="Times New Roman" w:hAnsi="Times New Roman"/>
          <w:szCs w:val="21"/>
          <w:highlight w:val="none"/>
        </w:rPr>
      </w:pPr>
      <w:r>
        <w:rPr>
          <w:rFonts w:hint="eastAsia" w:ascii="黑体" w:hAnsi="黑体" w:eastAsia="黑体" w:cs="黑体"/>
          <w:b w:val="0"/>
          <w:bCs w:val="0"/>
          <w:szCs w:val="21"/>
          <w:highlight w:val="none"/>
          <w:lang w:val="en-US" w:eastAsia="zh-CN"/>
        </w:rPr>
        <w:t>8.1</w:t>
      </w:r>
      <w:r>
        <w:rPr>
          <w:rFonts w:ascii="Times New Roman" w:hAnsi="Times New Roman"/>
          <w:szCs w:val="21"/>
          <w:highlight w:val="none"/>
        </w:rPr>
        <w:t xml:space="preserve">  肥料的使用应符合NY/T 496、NY/T 1105、NY/T 1535、NY/T 1868、NY/T 1869的规定。</w:t>
      </w:r>
    </w:p>
    <w:p>
      <w:pPr>
        <w:pStyle w:val="13"/>
        <w:spacing w:before="156" w:beforeLines="50"/>
        <w:ind w:firstLine="0"/>
        <w:rPr>
          <w:rFonts w:hint="default" w:ascii="Times New Roman" w:hAnsi="Times New Roman"/>
          <w:szCs w:val="21"/>
          <w:highlight w:val="none"/>
          <w:lang w:val="en-US" w:eastAsia="zh-CN"/>
        </w:rPr>
      </w:pPr>
      <w:r>
        <w:rPr>
          <w:rFonts w:hint="eastAsia" w:ascii="黑体" w:hAnsi="黑体" w:eastAsia="黑体" w:cs="黑体"/>
          <w:b w:val="0"/>
          <w:bCs w:val="0"/>
          <w:szCs w:val="21"/>
          <w:highlight w:val="none"/>
          <w:lang w:val="en-US" w:eastAsia="zh-CN"/>
        </w:rPr>
        <w:t>8.2</w:t>
      </w:r>
      <w:r>
        <w:rPr>
          <w:rFonts w:ascii="Times New Roman" w:hAnsi="Times New Roman"/>
          <w:szCs w:val="21"/>
          <w:highlight w:val="none"/>
        </w:rPr>
        <w:t xml:space="preserve">  肥料运筹</w:t>
      </w:r>
      <w:r>
        <w:rPr>
          <w:rFonts w:hint="eastAsia" w:ascii="Times New Roman" w:hAnsi="Times New Roman"/>
          <w:szCs w:val="21"/>
          <w:highlight w:val="none"/>
          <w:lang w:val="en-US" w:eastAsia="zh-CN"/>
        </w:rPr>
        <w:t>应</w:t>
      </w:r>
      <w:r>
        <w:rPr>
          <w:rFonts w:ascii="Times New Roman" w:hAnsi="Times New Roman"/>
          <w:szCs w:val="21"/>
          <w:highlight w:val="none"/>
        </w:rPr>
        <w:t>因田、因品种</w:t>
      </w:r>
      <w:r>
        <w:rPr>
          <w:rFonts w:hint="eastAsia" w:ascii="Times New Roman" w:hAnsi="Times New Roman"/>
          <w:szCs w:val="21"/>
          <w:highlight w:val="none"/>
        </w:rPr>
        <w:t>、因产、因苗</w:t>
      </w:r>
      <w:r>
        <w:rPr>
          <w:rFonts w:ascii="Times New Roman" w:hAnsi="Times New Roman"/>
          <w:szCs w:val="21"/>
          <w:highlight w:val="none"/>
        </w:rPr>
        <w:t>而定，</w:t>
      </w:r>
      <w:r>
        <w:rPr>
          <w:rFonts w:hint="eastAsia"/>
          <w:highlight w:val="none"/>
        </w:rPr>
        <w:t>氮、磷、钾肥配合施用，增施硼肥</w:t>
      </w:r>
      <w:r>
        <w:rPr>
          <w:rFonts w:hint="eastAsia"/>
          <w:highlight w:val="none"/>
          <w:lang w:eastAsia="zh-CN"/>
        </w:rPr>
        <w:t>，</w:t>
      </w:r>
      <w:r>
        <w:rPr>
          <w:rFonts w:hint="eastAsia"/>
          <w:highlight w:val="none"/>
          <w:lang w:val="en-US" w:eastAsia="zh-CN"/>
        </w:rPr>
        <w:t>施肥</w:t>
      </w:r>
      <w:r>
        <w:rPr>
          <w:rFonts w:ascii="Times New Roman" w:hAnsi="Times New Roman"/>
          <w:szCs w:val="21"/>
          <w:highlight w:val="none"/>
        </w:rPr>
        <w:t>原则是“</w:t>
      </w:r>
      <w:r>
        <w:rPr>
          <w:rFonts w:hint="eastAsia" w:ascii="Times New Roman" w:hAnsi="Times New Roman"/>
          <w:szCs w:val="21"/>
          <w:highlight w:val="none"/>
        </w:rPr>
        <w:t>底肥足，苗肥早，薹肥稳</w:t>
      </w:r>
      <w:r>
        <w:rPr>
          <w:rFonts w:ascii="Times New Roman" w:hAnsi="Times New Roman"/>
          <w:szCs w:val="21"/>
          <w:highlight w:val="none"/>
        </w:rPr>
        <w:t>”</w:t>
      </w:r>
      <w:r>
        <w:rPr>
          <w:rFonts w:hint="eastAsia" w:ascii="Times New Roman" w:hAnsi="Times New Roman"/>
          <w:szCs w:val="21"/>
          <w:highlight w:val="none"/>
          <w:lang w:eastAsia="zh-CN"/>
        </w:rPr>
        <w:t>。</w:t>
      </w:r>
      <w:r>
        <w:rPr>
          <w:rFonts w:hint="eastAsia"/>
          <w:kern w:val="0"/>
          <w:szCs w:val="21"/>
          <w:highlight w:val="none"/>
          <w:lang w:val="en-US" w:eastAsia="zh-CN"/>
        </w:rPr>
        <w:t>每666.7</w:t>
      </w:r>
      <w:r>
        <w:rPr>
          <w:kern w:val="0"/>
          <w:szCs w:val="21"/>
          <w:highlight w:val="none"/>
        </w:rPr>
        <w:t>m</w:t>
      </w:r>
      <w:r>
        <w:rPr>
          <w:kern w:val="0"/>
          <w:szCs w:val="21"/>
          <w:highlight w:val="none"/>
          <w:vertAlign w:val="superscript"/>
        </w:rPr>
        <w:t>2</w:t>
      </w:r>
      <w:r>
        <w:rPr>
          <w:rFonts w:hint="eastAsia"/>
          <w:kern w:val="0"/>
          <w:szCs w:val="21"/>
          <w:highlight w:val="none"/>
          <w:vertAlign w:val="baseline"/>
          <w:lang w:val="en-US" w:eastAsia="zh-CN"/>
        </w:rPr>
        <w:t>直播</w:t>
      </w:r>
      <w:r>
        <w:rPr>
          <w:rFonts w:hint="eastAsia" w:ascii="Times New Roman" w:hAnsi="Times New Roman"/>
          <w:szCs w:val="21"/>
          <w:highlight w:val="none"/>
          <w:lang w:val="en-US" w:eastAsia="zh-CN"/>
        </w:rPr>
        <w:t>油菜一生应施用氮14</w:t>
      </w:r>
      <w:r>
        <w:rPr>
          <w:rFonts w:hint="eastAsia" w:ascii="Times New Roman" w:hAnsi="Times New Roman" w:eastAsia="宋体" w:cs="Times New Roman"/>
          <w:szCs w:val="21"/>
          <w:highlight w:val="none"/>
          <w:lang w:val="en-US" w:eastAsia="zh-CN"/>
        </w:rPr>
        <w:t>~</w:t>
      </w:r>
      <w:r>
        <w:rPr>
          <w:rFonts w:hint="eastAsia" w:ascii="Times New Roman" w:hAnsi="Times New Roman"/>
          <w:szCs w:val="21"/>
          <w:highlight w:val="none"/>
          <w:lang w:val="en-US" w:eastAsia="zh-CN"/>
        </w:rPr>
        <w:t>16 kg、磷4</w:t>
      </w:r>
      <w:r>
        <w:rPr>
          <w:rFonts w:hint="eastAsia" w:ascii="Times New Roman" w:hAnsi="Times New Roman" w:eastAsia="宋体" w:cs="Times New Roman"/>
          <w:szCs w:val="21"/>
          <w:highlight w:val="none"/>
          <w:lang w:val="en-US" w:eastAsia="zh-CN"/>
        </w:rPr>
        <w:t>~</w:t>
      </w:r>
      <w:r>
        <w:rPr>
          <w:rFonts w:hint="eastAsia" w:ascii="Times New Roman" w:hAnsi="Times New Roman"/>
          <w:szCs w:val="21"/>
          <w:highlight w:val="none"/>
          <w:lang w:val="en-US" w:eastAsia="zh-CN"/>
        </w:rPr>
        <w:t>4.5kg、钾5</w:t>
      </w:r>
      <w:r>
        <w:rPr>
          <w:rFonts w:hint="eastAsia" w:ascii="Times New Roman" w:hAnsi="Times New Roman" w:eastAsia="宋体" w:cs="Times New Roman"/>
          <w:szCs w:val="21"/>
          <w:highlight w:val="none"/>
          <w:lang w:val="en-US" w:eastAsia="zh-CN"/>
        </w:rPr>
        <w:t>~</w:t>
      </w:r>
      <w:r>
        <w:rPr>
          <w:rFonts w:hint="eastAsia" w:ascii="Times New Roman" w:hAnsi="Times New Roman"/>
          <w:szCs w:val="21"/>
          <w:highlight w:val="none"/>
          <w:lang w:val="en-US" w:eastAsia="zh-CN"/>
        </w:rPr>
        <w:t>6kg、硼砂1 kg。</w:t>
      </w:r>
      <w:r>
        <w:rPr>
          <w:rFonts w:hint="eastAsia"/>
          <w:kern w:val="0"/>
          <w:szCs w:val="21"/>
          <w:highlight w:val="none"/>
          <w:lang w:val="en-US" w:eastAsia="zh-CN"/>
        </w:rPr>
        <w:t>每666.7</w:t>
      </w:r>
      <w:r>
        <w:rPr>
          <w:kern w:val="0"/>
          <w:szCs w:val="21"/>
          <w:highlight w:val="none"/>
        </w:rPr>
        <w:t>m</w:t>
      </w:r>
      <w:r>
        <w:rPr>
          <w:kern w:val="0"/>
          <w:szCs w:val="21"/>
          <w:highlight w:val="none"/>
          <w:vertAlign w:val="superscript"/>
        </w:rPr>
        <w:t>2</w:t>
      </w:r>
      <w:r>
        <w:rPr>
          <w:rFonts w:hint="eastAsia" w:ascii="Times New Roman" w:hAnsi="Times New Roman"/>
          <w:szCs w:val="21"/>
          <w:highlight w:val="none"/>
          <w:lang w:val="en-US" w:eastAsia="zh-CN"/>
        </w:rPr>
        <w:t xml:space="preserve">育苗移栽油菜一生应施用氮16 </w:t>
      </w:r>
      <w:r>
        <w:rPr>
          <w:rFonts w:hint="eastAsia" w:ascii="Times New Roman" w:hAnsi="Times New Roman" w:eastAsia="宋体" w:cs="Times New Roman"/>
          <w:szCs w:val="21"/>
          <w:highlight w:val="none"/>
          <w:lang w:val="en-US" w:eastAsia="zh-CN"/>
        </w:rPr>
        <w:t>~</w:t>
      </w:r>
      <w:r>
        <w:rPr>
          <w:rFonts w:hint="eastAsia" w:ascii="Times New Roman" w:hAnsi="Times New Roman" w:cs="Times New Roman"/>
          <w:szCs w:val="21"/>
          <w:highlight w:val="none"/>
          <w:lang w:val="en-US" w:eastAsia="zh-CN"/>
        </w:rPr>
        <w:t xml:space="preserve"> </w:t>
      </w:r>
      <w:r>
        <w:rPr>
          <w:rFonts w:hint="eastAsia" w:ascii="Times New Roman" w:hAnsi="Times New Roman"/>
          <w:szCs w:val="21"/>
          <w:highlight w:val="none"/>
          <w:lang w:val="en-US" w:eastAsia="zh-CN"/>
        </w:rPr>
        <w:t xml:space="preserve">18kg、磷4 </w:t>
      </w:r>
      <w:r>
        <w:rPr>
          <w:rFonts w:hint="eastAsia" w:ascii="Times New Roman" w:hAnsi="Times New Roman" w:eastAsia="宋体" w:cs="Times New Roman"/>
          <w:szCs w:val="21"/>
          <w:highlight w:val="none"/>
          <w:lang w:val="en-US" w:eastAsia="zh-CN"/>
        </w:rPr>
        <w:t>~</w:t>
      </w:r>
      <w:r>
        <w:rPr>
          <w:rFonts w:hint="eastAsia" w:ascii="Times New Roman" w:hAnsi="Times New Roman"/>
          <w:szCs w:val="21"/>
          <w:highlight w:val="none"/>
          <w:lang w:val="en-US" w:eastAsia="zh-CN"/>
        </w:rPr>
        <w:t xml:space="preserve"> 4.5kg、钾5 </w:t>
      </w:r>
      <w:r>
        <w:rPr>
          <w:rFonts w:hint="eastAsia" w:ascii="Times New Roman" w:hAnsi="Times New Roman" w:eastAsia="宋体" w:cs="Times New Roman"/>
          <w:szCs w:val="21"/>
          <w:highlight w:val="none"/>
          <w:lang w:val="en-US" w:eastAsia="zh-CN"/>
        </w:rPr>
        <w:t>~</w:t>
      </w:r>
      <w:r>
        <w:rPr>
          <w:rFonts w:hint="eastAsia" w:ascii="Times New Roman" w:hAnsi="Times New Roman" w:cs="Times New Roman"/>
          <w:szCs w:val="21"/>
          <w:highlight w:val="none"/>
          <w:lang w:val="en-US" w:eastAsia="zh-CN"/>
        </w:rPr>
        <w:t xml:space="preserve"> </w:t>
      </w:r>
      <w:r>
        <w:rPr>
          <w:rFonts w:hint="eastAsia" w:ascii="Times New Roman" w:hAnsi="Times New Roman"/>
          <w:szCs w:val="21"/>
          <w:highlight w:val="none"/>
          <w:lang w:val="en-US" w:eastAsia="zh-CN"/>
        </w:rPr>
        <w:t>6kg、硼砂1 kg。</w:t>
      </w:r>
    </w:p>
    <w:p>
      <w:pPr>
        <w:widowControl/>
        <w:spacing w:before="156" w:beforeLines="50" w:line="360" w:lineRule="auto"/>
        <w:outlineLvl w:val="0"/>
        <w:rPr>
          <w:rFonts w:eastAsia="黑体"/>
          <w:kern w:val="0"/>
          <w:szCs w:val="21"/>
          <w:highlight w:val="none"/>
        </w:rPr>
      </w:pPr>
      <w:bookmarkStart w:id="33" w:name="_Toc17902"/>
      <w:r>
        <w:rPr>
          <w:rFonts w:hint="eastAsia" w:ascii="黑体" w:hAnsi="黑体" w:eastAsia="黑体" w:cs="黑体"/>
          <w:b w:val="0"/>
          <w:bCs w:val="0"/>
          <w:kern w:val="0"/>
          <w:szCs w:val="21"/>
          <w:highlight w:val="none"/>
          <w:lang w:val="en-US" w:eastAsia="zh-CN"/>
        </w:rPr>
        <w:t xml:space="preserve">9  </w:t>
      </w:r>
      <w:r>
        <w:rPr>
          <w:rFonts w:hint="eastAsia" w:eastAsia="黑体"/>
          <w:kern w:val="0"/>
          <w:szCs w:val="21"/>
          <w:highlight w:val="none"/>
          <w:lang w:val="en-US" w:eastAsia="zh-CN"/>
        </w:rPr>
        <w:t>病虫草害</w:t>
      </w:r>
      <w:r>
        <w:rPr>
          <w:rFonts w:hint="eastAsia" w:eastAsia="黑体"/>
          <w:kern w:val="0"/>
          <w:szCs w:val="21"/>
          <w:highlight w:val="none"/>
        </w:rPr>
        <w:t>防治</w:t>
      </w:r>
      <w:bookmarkEnd w:id="33"/>
    </w:p>
    <w:p>
      <w:pPr>
        <w:pStyle w:val="13"/>
        <w:spacing w:before="156" w:beforeLines="50"/>
        <w:ind w:firstLine="0"/>
        <w:outlineLvl w:val="1"/>
        <w:rPr>
          <w:rFonts w:hint="eastAsia" w:ascii="黑体" w:hAnsi="黑体" w:eastAsia="黑体" w:cs="黑体"/>
          <w:szCs w:val="21"/>
          <w:highlight w:val="none"/>
        </w:rPr>
      </w:pPr>
      <w:r>
        <w:rPr>
          <w:rFonts w:hint="eastAsia" w:ascii="黑体" w:hAnsi="黑体" w:eastAsia="黑体" w:cs="黑体"/>
          <w:b w:val="0"/>
          <w:bCs w:val="0"/>
          <w:szCs w:val="21"/>
          <w:highlight w:val="none"/>
          <w:lang w:val="en-US" w:eastAsia="zh-CN"/>
        </w:rPr>
        <w:t>9.1</w:t>
      </w:r>
      <w:r>
        <w:rPr>
          <w:rFonts w:hint="eastAsia" w:ascii="黑体" w:hAnsi="黑体" w:eastAsia="黑体" w:cs="黑体"/>
          <w:szCs w:val="21"/>
          <w:highlight w:val="none"/>
        </w:rPr>
        <w:t xml:space="preserve">  防治原则</w:t>
      </w:r>
    </w:p>
    <w:p>
      <w:pPr>
        <w:pStyle w:val="13"/>
        <w:spacing w:before="156" w:beforeLines="50"/>
        <w:ind w:firstLineChars="200"/>
        <w:rPr>
          <w:rFonts w:ascii="Times New Roman" w:hAnsi="Times New Roman"/>
          <w:szCs w:val="21"/>
          <w:highlight w:val="none"/>
        </w:rPr>
      </w:pPr>
      <w:r>
        <w:rPr>
          <w:rFonts w:hint="eastAsia" w:ascii="Times New Roman" w:hAnsi="Times New Roman"/>
          <w:szCs w:val="21"/>
          <w:highlight w:val="none"/>
          <w:lang w:val="en-US" w:eastAsia="zh-CN"/>
        </w:rPr>
        <w:t>遵循</w:t>
      </w:r>
      <w:r>
        <w:rPr>
          <w:rFonts w:ascii="Times New Roman" w:hAnsi="Times New Roman"/>
          <w:szCs w:val="21"/>
          <w:highlight w:val="none"/>
        </w:rPr>
        <w:t>“预防为主，综合防治”</w:t>
      </w:r>
      <w:r>
        <w:rPr>
          <w:rFonts w:hint="eastAsia" w:ascii="Times New Roman" w:hAnsi="Times New Roman"/>
          <w:szCs w:val="21"/>
          <w:highlight w:val="none"/>
          <w:lang w:val="en-US" w:eastAsia="zh-CN"/>
        </w:rPr>
        <w:t>的原则</w:t>
      </w:r>
      <w:r>
        <w:rPr>
          <w:rFonts w:ascii="Times New Roman" w:hAnsi="Times New Roman"/>
          <w:szCs w:val="21"/>
          <w:highlight w:val="none"/>
        </w:rPr>
        <w:t>。</w:t>
      </w:r>
      <w:r>
        <w:rPr>
          <w:rFonts w:hint="eastAsia" w:ascii="Times New Roman" w:hAnsi="Times New Roman"/>
          <w:szCs w:val="21"/>
          <w:highlight w:val="none"/>
          <w:lang w:val="en-US" w:eastAsia="zh-CN"/>
        </w:rPr>
        <w:t>应</w:t>
      </w:r>
      <w:r>
        <w:rPr>
          <w:rFonts w:ascii="Times New Roman" w:hAnsi="Times New Roman"/>
          <w:szCs w:val="21"/>
          <w:highlight w:val="none"/>
        </w:rPr>
        <w:t>从农田生态系统整体出发，以农业防治为基础，协调</w:t>
      </w:r>
      <w:r>
        <w:rPr>
          <w:rFonts w:hint="eastAsia" w:ascii="Times New Roman" w:hAnsi="Times New Roman"/>
          <w:szCs w:val="21"/>
          <w:highlight w:val="none"/>
          <w:lang w:eastAsia="zh-CN"/>
        </w:rPr>
        <w:t>采取</w:t>
      </w:r>
      <w:r>
        <w:rPr>
          <w:rFonts w:ascii="Times New Roman" w:hAnsi="Times New Roman"/>
          <w:szCs w:val="21"/>
          <w:highlight w:val="none"/>
        </w:rPr>
        <w:t>多种</w:t>
      </w:r>
      <w:r>
        <w:rPr>
          <w:rFonts w:hint="eastAsia" w:ascii="Times New Roman" w:hAnsi="Times New Roman"/>
          <w:szCs w:val="21"/>
          <w:highlight w:val="none"/>
          <w:lang w:val="en-US" w:eastAsia="zh-CN"/>
        </w:rPr>
        <w:t>非化学</w:t>
      </w:r>
      <w:r>
        <w:rPr>
          <w:rFonts w:ascii="Times New Roman" w:hAnsi="Times New Roman"/>
          <w:szCs w:val="21"/>
          <w:highlight w:val="none"/>
        </w:rPr>
        <w:t>防治措施，保护利用自然天敌，营造不利于病虫害的生存环境，提高农作物抗病虫能力。在必要时科学使用化学农药</w:t>
      </w:r>
      <w:r>
        <w:rPr>
          <w:rFonts w:hint="eastAsia" w:ascii="Times New Roman" w:hAnsi="Times New Roman"/>
          <w:szCs w:val="21"/>
          <w:highlight w:val="none"/>
        </w:rPr>
        <w:t>。</w:t>
      </w:r>
    </w:p>
    <w:p>
      <w:pPr>
        <w:pStyle w:val="13"/>
        <w:spacing w:before="156" w:beforeLines="50"/>
        <w:ind w:firstLine="0"/>
        <w:outlineLvl w:val="1"/>
        <w:rPr>
          <w:rFonts w:hint="eastAsia" w:ascii="黑体" w:hAnsi="黑体" w:eastAsia="黑体" w:cs="黑体"/>
          <w:szCs w:val="21"/>
          <w:highlight w:val="none"/>
        </w:rPr>
      </w:pPr>
      <w:r>
        <w:rPr>
          <w:rFonts w:hint="eastAsia" w:ascii="黑体" w:hAnsi="黑体" w:eastAsia="黑体" w:cs="黑体"/>
          <w:b w:val="0"/>
          <w:bCs w:val="0"/>
          <w:szCs w:val="21"/>
          <w:highlight w:val="none"/>
          <w:lang w:val="en-US" w:eastAsia="zh-CN"/>
        </w:rPr>
        <w:t>9.2</w:t>
      </w:r>
      <w:r>
        <w:rPr>
          <w:rFonts w:hint="eastAsia" w:ascii="黑体" w:hAnsi="黑体" w:eastAsia="黑体" w:cs="黑体"/>
          <w:b w:val="0"/>
          <w:bCs w:val="0"/>
          <w:szCs w:val="21"/>
          <w:highlight w:val="none"/>
        </w:rPr>
        <w:t xml:space="preserve"> </w:t>
      </w:r>
      <w:r>
        <w:rPr>
          <w:rFonts w:hint="eastAsia" w:ascii="黑体" w:hAnsi="黑体" w:eastAsia="黑体" w:cs="黑体"/>
          <w:szCs w:val="21"/>
          <w:highlight w:val="none"/>
        </w:rPr>
        <w:t xml:space="preserve"> 农业防治</w:t>
      </w:r>
    </w:p>
    <w:p>
      <w:pPr>
        <w:pStyle w:val="13"/>
        <w:spacing w:before="156" w:beforeLines="50"/>
        <w:ind w:firstLineChars="200"/>
        <w:rPr>
          <w:rFonts w:ascii="Times New Roman" w:hAnsi="Times New Roman"/>
          <w:szCs w:val="21"/>
          <w:highlight w:val="none"/>
        </w:rPr>
      </w:pPr>
      <w:r>
        <w:rPr>
          <w:rFonts w:hint="eastAsia" w:ascii="Times New Roman" w:hAnsi="Times New Roman"/>
          <w:szCs w:val="21"/>
          <w:highlight w:val="none"/>
        </w:rPr>
        <w:t>通过</w:t>
      </w:r>
      <w:r>
        <w:rPr>
          <w:rFonts w:hint="eastAsia" w:ascii="Times New Roman" w:hAnsi="Times New Roman"/>
          <w:szCs w:val="21"/>
          <w:highlight w:val="none"/>
          <w:lang w:val="en-US" w:eastAsia="zh-CN"/>
        </w:rPr>
        <w:t>水旱轮作、深耕深翻</w:t>
      </w:r>
      <w:r>
        <w:rPr>
          <w:rFonts w:hint="eastAsia" w:ascii="Times New Roman" w:hAnsi="Times New Roman"/>
          <w:szCs w:val="21"/>
          <w:highlight w:val="none"/>
        </w:rPr>
        <w:t>、人工控草等方式进行农业防治</w:t>
      </w:r>
      <w:r>
        <w:rPr>
          <w:rFonts w:ascii="Times New Roman" w:hAnsi="Times New Roman"/>
          <w:szCs w:val="21"/>
          <w:highlight w:val="none"/>
        </w:rPr>
        <w:t>。</w:t>
      </w:r>
    </w:p>
    <w:p>
      <w:pPr>
        <w:pStyle w:val="13"/>
        <w:spacing w:before="156" w:beforeLines="50"/>
        <w:ind w:firstLine="0"/>
        <w:outlineLvl w:val="1"/>
        <w:rPr>
          <w:rFonts w:hint="eastAsia" w:ascii="黑体" w:hAnsi="黑体" w:eastAsia="黑体" w:cs="黑体"/>
          <w:szCs w:val="21"/>
          <w:highlight w:val="none"/>
        </w:rPr>
      </w:pPr>
      <w:r>
        <w:rPr>
          <w:rFonts w:hint="eastAsia" w:ascii="黑体" w:hAnsi="黑体" w:eastAsia="黑体" w:cs="黑体"/>
          <w:b w:val="0"/>
          <w:bCs w:val="0"/>
          <w:szCs w:val="21"/>
          <w:highlight w:val="none"/>
          <w:lang w:val="en-US" w:eastAsia="zh-CN"/>
        </w:rPr>
        <w:t>9.3</w:t>
      </w:r>
      <w:r>
        <w:rPr>
          <w:rFonts w:hint="eastAsia" w:ascii="黑体" w:hAnsi="黑体" w:eastAsia="黑体" w:cs="黑体"/>
          <w:szCs w:val="21"/>
          <w:highlight w:val="none"/>
        </w:rPr>
        <w:t xml:space="preserve"> 生物防治  </w:t>
      </w:r>
    </w:p>
    <w:p>
      <w:pPr>
        <w:pStyle w:val="13"/>
        <w:spacing w:before="156" w:beforeLines="50"/>
        <w:ind w:firstLineChars="200"/>
        <w:rPr>
          <w:rFonts w:ascii="Times New Roman" w:hAnsi="Times New Roman"/>
          <w:szCs w:val="21"/>
          <w:highlight w:val="none"/>
        </w:rPr>
      </w:pPr>
      <w:r>
        <w:rPr>
          <w:rFonts w:hint="eastAsia" w:ascii="Times New Roman" w:hAnsi="Times New Roman"/>
          <w:szCs w:val="21"/>
          <w:highlight w:val="none"/>
        </w:rPr>
        <w:t>通过</w:t>
      </w:r>
      <w:r>
        <w:rPr>
          <w:rFonts w:ascii="Times New Roman" w:hAnsi="Times New Roman"/>
          <w:szCs w:val="21"/>
          <w:highlight w:val="none"/>
        </w:rPr>
        <w:t>释放寄生蜂</w:t>
      </w:r>
      <w:r>
        <w:rPr>
          <w:rFonts w:hint="eastAsia" w:ascii="Times New Roman" w:hAnsi="Times New Roman"/>
          <w:szCs w:val="21"/>
          <w:highlight w:val="none"/>
        </w:rPr>
        <w:t>、</w:t>
      </w:r>
      <w:r>
        <w:rPr>
          <w:rFonts w:ascii="Times New Roman" w:hAnsi="Times New Roman"/>
          <w:szCs w:val="21"/>
          <w:highlight w:val="none"/>
        </w:rPr>
        <w:t>性诱剂</w:t>
      </w:r>
      <w:r>
        <w:rPr>
          <w:rFonts w:hint="eastAsia" w:ascii="Times New Roman" w:hAnsi="Times New Roman"/>
          <w:szCs w:val="21"/>
          <w:highlight w:val="none"/>
        </w:rPr>
        <w:t>诱杀</w:t>
      </w:r>
      <w:r>
        <w:rPr>
          <w:rFonts w:ascii="Times New Roman" w:hAnsi="Times New Roman"/>
          <w:szCs w:val="21"/>
          <w:highlight w:val="none"/>
        </w:rPr>
        <w:t>、食诱剂诱杀</w:t>
      </w:r>
      <w:r>
        <w:rPr>
          <w:rFonts w:hint="eastAsia" w:ascii="Times New Roman" w:hAnsi="Times New Roman"/>
          <w:szCs w:val="21"/>
          <w:highlight w:val="none"/>
        </w:rPr>
        <w:t>、</w:t>
      </w:r>
      <w:r>
        <w:rPr>
          <w:rFonts w:ascii="Times New Roman" w:hAnsi="Times New Roman"/>
          <w:szCs w:val="21"/>
          <w:highlight w:val="none"/>
        </w:rPr>
        <w:t>灯光诱杀</w:t>
      </w:r>
      <w:r>
        <w:rPr>
          <w:rFonts w:hint="eastAsia" w:ascii="Times New Roman" w:hAnsi="Times New Roman"/>
          <w:szCs w:val="21"/>
          <w:highlight w:val="none"/>
        </w:rPr>
        <w:t>和</w:t>
      </w:r>
      <w:r>
        <w:rPr>
          <w:rFonts w:ascii="Times New Roman" w:hAnsi="Times New Roman"/>
          <w:szCs w:val="21"/>
          <w:highlight w:val="none"/>
        </w:rPr>
        <w:t>生物农药防治</w:t>
      </w:r>
      <w:r>
        <w:rPr>
          <w:rFonts w:hint="eastAsia" w:ascii="Times New Roman" w:hAnsi="Times New Roman"/>
          <w:szCs w:val="21"/>
          <w:highlight w:val="none"/>
        </w:rPr>
        <w:t>等方式进行生物防治。</w:t>
      </w:r>
    </w:p>
    <w:p>
      <w:pPr>
        <w:pStyle w:val="13"/>
        <w:spacing w:before="156" w:beforeLines="50"/>
        <w:ind w:firstLine="0"/>
        <w:outlineLvl w:val="1"/>
        <w:rPr>
          <w:rFonts w:hint="eastAsia" w:ascii="黑体" w:hAnsi="黑体" w:eastAsia="黑体" w:cs="黑体"/>
          <w:szCs w:val="21"/>
          <w:highlight w:val="none"/>
        </w:rPr>
      </w:pPr>
      <w:r>
        <w:rPr>
          <w:rFonts w:hint="eastAsia" w:ascii="黑体" w:hAnsi="黑体" w:eastAsia="黑体" w:cs="黑体"/>
          <w:b w:val="0"/>
          <w:bCs w:val="0"/>
          <w:szCs w:val="21"/>
          <w:highlight w:val="none"/>
          <w:lang w:val="en-US" w:eastAsia="zh-CN"/>
        </w:rPr>
        <w:t>9.4</w:t>
      </w:r>
      <w:r>
        <w:rPr>
          <w:rFonts w:hint="eastAsia" w:ascii="黑体" w:hAnsi="黑体" w:eastAsia="黑体" w:cs="黑体"/>
          <w:szCs w:val="21"/>
          <w:highlight w:val="none"/>
        </w:rPr>
        <w:t xml:space="preserve">  化学防治</w:t>
      </w:r>
    </w:p>
    <w:p>
      <w:pPr>
        <w:pStyle w:val="13"/>
        <w:spacing w:before="156" w:beforeLines="50"/>
        <w:ind w:firstLine="0"/>
        <w:rPr>
          <w:rFonts w:ascii="Times New Roman" w:hAnsi="Times New Roman"/>
          <w:szCs w:val="21"/>
          <w:highlight w:val="none"/>
        </w:rPr>
      </w:pPr>
      <w:r>
        <w:rPr>
          <w:rFonts w:hint="eastAsia" w:ascii="黑体" w:hAnsi="黑体" w:eastAsia="黑体" w:cs="黑体"/>
          <w:b w:val="0"/>
          <w:bCs w:val="0"/>
          <w:szCs w:val="21"/>
          <w:highlight w:val="none"/>
          <w:lang w:val="en-US" w:eastAsia="zh-CN"/>
        </w:rPr>
        <w:t>9.4.1</w:t>
      </w:r>
      <w:r>
        <w:rPr>
          <w:rFonts w:ascii="Times New Roman" w:hAnsi="Times New Roman"/>
          <w:szCs w:val="21"/>
          <w:highlight w:val="none"/>
        </w:rPr>
        <w:t xml:space="preserve">  农药使用应符合GB/T 8321</w:t>
      </w:r>
      <w:r>
        <w:rPr>
          <w:rFonts w:hint="eastAsia" w:ascii="Times New Roman" w:hAnsi="Times New Roman"/>
          <w:szCs w:val="21"/>
          <w:highlight w:val="none"/>
        </w:rPr>
        <w:t>（所有</w:t>
      </w:r>
      <w:r>
        <w:rPr>
          <w:rFonts w:ascii="Times New Roman" w:hAnsi="Times New Roman"/>
          <w:szCs w:val="21"/>
          <w:highlight w:val="none"/>
        </w:rPr>
        <w:t>部分</w:t>
      </w:r>
      <w:r>
        <w:rPr>
          <w:rFonts w:hint="eastAsia" w:ascii="Times New Roman" w:hAnsi="Times New Roman"/>
          <w:szCs w:val="21"/>
          <w:highlight w:val="none"/>
        </w:rPr>
        <w:t>）</w:t>
      </w:r>
      <w:r>
        <w:rPr>
          <w:rFonts w:ascii="Times New Roman" w:hAnsi="Times New Roman"/>
          <w:szCs w:val="21"/>
          <w:highlight w:val="none"/>
        </w:rPr>
        <w:t>、GB 12475 和NY/T 1276 的规定，</w:t>
      </w:r>
      <w:r>
        <w:rPr>
          <w:rFonts w:hint="eastAsia" w:ascii="Times New Roman" w:hAnsi="Times New Roman"/>
          <w:szCs w:val="21"/>
          <w:highlight w:val="none"/>
          <w:lang w:val="en-US" w:eastAsia="zh-CN"/>
        </w:rPr>
        <w:t>不应</w:t>
      </w:r>
      <w:r>
        <w:rPr>
          <w:rFonts w:ascii="Times New Roman" w:hAnsi="Times New Roman"/>
          <w:szCs w:val="21"/>
          <w:highlight w:val="none"/>
        </w:rPr>
        <w:t>使用禁限用农药。</w:t>
      </w:r>
    </w:p>
    <w:p>
      <w:pPr>
        <w:pStyle w:val="13"/>
        <w:spacing w:before="156" w:beforeLines="50"/>
        <w:ind w:firstLine="0"/>
        <w:rPr>
          <w:rFonts w:ascii="Times New Roman" w:hAnsi="Times New Roman"/>
          <w:szCs w:val="21"/>
          <w:highlight w:val="none"/>
        </w:rPr>
      </w:pPr>
      <w:r>
        <w:rPr>
          <w:rFonts w:hint="eastAsia" w:ascii="黑体" w:hAnsi="黑体" w:eastAsia="黑体" w:cs="黑体"/>
          <w:b w:val="0"/>
          <w:bCs w:val="0"/>
          <w:szCs w:val="21"/>
          <w:highlight w:val="none"/>
          <w:lang w:val="en-US" w:eastAsia="zh-CN"/>
        </w:rPr>
        <w:t>9.4.2</w:t>
      </w:r>
      <w:r>
        <w:rPr>
          <w:rFonts w:ascii="Times New Roman" w:hAnsi="Times New Roman"/>
          <w:szCs w:val="21"/>
          <w:highlight w:val="none"/>
        </w:rPr>
        <w:t xml:space="preserve">  应选择在</w:t>
      </w:r>
      <w:r>
        <w:rPr>
          <w:rFonts w:hint="eastAsia" w:ascii="Times New Roman" w:hAnsi="Times New Roman"/>
          <w:szCs w:val="21"/>
          <w:highlight w:val="none"/>
          <w:lang w:val="en-US" w:eastAsia="zh-CN"/>
        </w:rPr>
        <w:t>油菜</w:t>
      </w:r>
      <w:r>
        <w:rPr>
          <w:rFonts w:ascii="Times New Roman" w:hAnsi="Times New Roman"/>
          <w:szCs w:val="21"/>
          <w:highlight w:val="none"/>
        </w:rPr>
        <w:t>上登记的低毒低风险农药品种和环境友好型农药制剂，并严格按标签使用农药</w:t>
      </w:r>
      <w:r>
        <w:rPr>
          <w:rFonts w:hint="eastAsia" w:ascii="Times New Roman" w:hAnsi="Times New Roman"/>
          <w:szCs w:val="21"/>
          <w:highlight w:val="none"/>
        </w:rPr>
        <w:t>，遵守</w:t>
      </w:r>
      <w:r>
        <w:rPr>
          <w:rFonts w:ascii="Times New Roman" w:hAnsi="Times New Roman"/>
          <w:szCs w:val="21"/>
          <w:highlight w:val="none"/>
        </w:rPr>
        <w:t>安全间隔期</w:t>
      </w:r>
      <w:r>
        <w:rPr>
          <w:rFonts w:hint="eastAsia" w:ascii="Times New Roman" w:hAnsi="Times New Roman"/>
          <w:szCs w:val="21"/>
          <w:highlight w:val="none"/>
        </w:rPr>
        <w:t>规定</w:t>
      </w:r>
      <w:r>
        <w:rPr>
          <w:rFonts w:ascii="Times New Roman" w:hAnsi="Times New Roman"/>
          <w:szCs w:val="21"/>
          <w:highlight w:val="none"/>
        </w:rPr>
        <w:t>。注意轮换用药，合理混用。</w:t>
      </w:r>
    </w:p>
    <w:p>
      <w:pPr>
        <w:pStyle w:val="13"/>
        <w:spacing w:before="156" w:beforeLines="50"/>
        <w:ind w:firstLine="0"/>
        <w:rPr>
          <w:rFonts w:hint="eastAsia" w:ascii="Times New Roman" w:hAnsi="Times New Roman" w:eastAsia="宋体" w:cs="Times New Roman"/>
          <w:szCs w:val="21"/>
          <w:highlight w:val="none"/>
          <w:lang w:val="en-US" w:eastAsia="zh-CN"/>
        </w:rPr>
      </w:pPr>
      <w:r>
        <w:rPr>
          <w:rFonts w:hint="eastAsia" w:ascii="黑体" w:hAnsi="黑体" w:eastAsia="黑体" w:cs="黑体"/>
          <w:b w:val="0"/>
          <w:bCs w:val="0"/>
          <w:szCs w:val="21"/>
          <w:highlight w:val="none"/>
          <w:lang w:val="en-US" w:eastAsia="zh-CN"/>
        </w:rPr>
        <w:t>9.4.3</w:t>
      </w:r>
      <w:r>
        <w:rPr>
          <w:rFonts w:hint="eastAsia" w:ascii="Times New Roman" w:hAnsi="Times New Roman" w:eastAsia="宋体" w:cs="Times New Roman"/>
          <w:szCs w:val="21"/>
          <w:highlight w:val="none"/>
          <w:lang w:val="en-US" w:eastAsia="zh-CN"/>
        </w:rPr>
        <w:t xml:space="preserve">  病害防治重点为防治油菜菌核病，初花期到盛花期为防治关键时期。</w:t>
      </w:r>
    </w:p>
    <w:p>
      <w:pPr>
        <w:pStyle w:val="13"/>
        <w:spacing w:before="156" w:beforeLines="50"/>
        <w:ind w:firstLine="0"/>
        <w:rPr>
          <w:rFonts w:hint="default" w:ascii="Times New Roman" w:hAnsi="Times New Roman" w:eastAsia="宋体" w:cs="Times New Roman"/>
          <w:szCs w:val="21"/>
          <w:highlight w:val="none"/>
          <w:lang w:val="en-US" w:eastAsia="zh-CN"/>
        </w:rPr>
      </w:pPr>
      <w:r>
        <w:rPr>
          <w:rFonts w:hint="eastAsia" w:ascii="黑体" w:hAnsi="黑体" w:eastAsia="黑体" w:cs="黑体"/>
          <w:b w:val="0"/>
          <w:bCs w:val="0"/>
          <w:szCs w:val="21"/>
          <w:highlight w:val="none"/>
          <w:lang w:val="en-US" w:eastAsia="zh-CN"/>
        </w:rPr>
        <w:t>9.4.4</w:t>
      </w:r>
      <w:r>
        <w:rPr>
          <w:rFonts w:hint="eastAsia" w:ascii="Times New Roman" w:hAnsi="Times New Roman" w:eastAsia="宋体" w:cs="Times New Roman"/>
          <w:szCs w:val="21"/>
          <w:highlight w:val="none"/>
          <w:lang w:val="en-US" w:eastAsia="zh-CN"/>
        </w:rPr>
        <w:t xml:space="preserve">  虫害防治以小菜蛾、蚜虫防治为主。</w:t>
      </w:r>
    </w:p>
    <w:p>
      <w:pPr>
        <w:pStyle w:val="13"/>
        <w:spacing w:before="156" w:beforeLines="50"/>
        <w:ind w:firstLine="0"/>
        <w:rPr>
          <w:rFonts w:hint="eastAsia" w:ascii="Times New Roman" w:hAnsi="Times New Roman" w:eastAsia="宋体" w:cs="Times New Roman"/>
          <w:szCs w:val="21"/>
          <w:highlight w:val="none"/>
          <w:lang w:eastAsia="zh-CN"/>
        </w:rPr>
      </w:pPr>
      <w:r>
        <w:rPr>
          <w:rFonts w:hint="eastAsia" w:ascii="黑体" w:hAnsi="黑体" w:eastAsia="黑体" w:cs="黑体"/>
          <w:b w:val="0"/>
          <w:bCs w:val="0"/>
          <w:szCs w:val="21"/>
          <w:highlight w:val="none"/>
          <w:lang w:val="en-US" w:eastAsia="zh-CN"/>
        </w:rPr>
        <w:t>9.4.5</w:t>
      </w:r>
      <w:r>
        <w:rPr>
          <w:rFonts w:ascii="Times New Roman" w:hAnsi="Times New Roman"/>
          <w:szCs w:val="21"/>
          <w:highlight w:val="none"/>
        </w:rPr>
        <w:t xml:space="preserve">  </w:t>
      </w:r>
      <w:r>
        <w:rPr>
          <w:rFonts w:hint="eastAsia" w:ascii="Times New Roman" w:hAnsi="Times New Roman" w:eastAsia="宋体" w:cs="Times New Roman"/>
          <w:szCs w:val="21"/>
          <w:highlight w:val="none"/>
          <w:lang w:val="en-US" w:eastAsia="zh-CN"/>
        </w:rPr>
        <w:t>草害防治采用封杀为主、后期茎叶处理为辅的方式进行，播后封闭，苗后化除</w:t>
      </w:r>
      <w:r>
        <w:rPr>
          <w:rFonts w:hint="eastAsia" w:ascii="Times New Roman" w:hAnsi="Times New Roman" w:eastAsia="宋体" w:cs="Times New Roman"/>
          <w:szCs w:val="21"/>
          <w:highlight w:val="none"/>
          <w:lang w:eastAsia="zh-CN"/>
        </w:rPr>
        <w:t>。</w:t>
      </w:r>
    </w:p>
    <w:p>
      <w:pPr>
        <w:widowControl/>
        <w:spacing w:before="156" w:beforeLines="50" w:line="360" w:lineRule="auto"/>
        <w:outlineLvl w:val="0"/>
        <w:rPr>
          <w:rFonts w:eastAsia="黑体"/>
          <w:kern w:val="0"/>
          <w:szCs w:val="21"/>
          <w:highlight w:val="none"/>
        </w:rPr>
      </w:pPr>
      <w:bookmarkStart w:id="34" w:name="_Toc28740"/>
      <w:r>
        <w:rPr>
          <w:rFonts w:hint="eastAsia" w:ascii="黑体" w:hAnsi="黑体" w:eastAsia="黑体" w:cs="黑体"/>
          <w:b w:val="0"/>
          <w:bCs w:val="0"/>
          <w:kern w:val="0"/>
          <w:szCs w:val="21"/>
          <w:highlight w:val="none"/>
          <w:lang w:val="en-US" w:eastAsia="zh-CN"/>
        </w:rPr>
        <w:t xml:space="preserve">10  </w:t>
      </w:r>
      <w:r>
        <w:rPr>
          <w:rFonts w:eastAsia="黑体"/>
          <w:kern w:val="0"/>
          <w:szCs w:val="21"/>
          <w:highlight w:val="none"/>
        </w:rPr>
        <w:t>收获</w:t>
      </w:r>
      <w:bookmarkEnd w:id="34"/>
    </w:p>
    <w:p>
      <w:pPr>
        <w:widowControl/>
        <w:spacing w:before="156" w:beforeLines="50"/>
        <w:outlineLvl w:val="1"/>
        <w:rPr>
          <w:rFonts w:hint="default" w:eastAsia="黑体"/>
          <w:kern w:val="0"/>
          <w:szCs w:val="21"/>
          <w:highlight w:val="none"/>
          <w:lang w:val="en-US" w:eastAsia="zh-CN"/>
        </w:rPr>
      </w:pPr>
      <w:r>
        <w:rPr>
          <w:rFonts w:hint="eastAsia" w:ascii="黑体" w:hAnsi="黑体" w:eastAsia="黑体" w:cs="黑体"/>
          <w:b w:val="0"/>
          <w:bCs w:val="0"/>
          <w:kern w:val="0"/>
          <w:szCs w:val="21"/>
          <w:highlight w:val="none"/>
          <w:lang w:val="en-US" w:eastAsia="zh-CN"/>
        </w:rPr>
        <w:t>10.1</w:t>
      </w:r>
      <w:r>
        <w:rPr>
          <w:rFonts w:eastAsia="黑体"/>
          <w:kern w:val="0"/>
          <w:szCs w:val="21"/>
          <w:highlight w:val="none"/>
        </w:rPr>
        <w:t xml:space="preserve">  </w:t>
      </w:r>
      <w:r>
        <w:rPr>
          <w:rFonts w:hint="eastAsia" w:eastAsia="黑体"/>
          <w:kern w:val="0"/>
          <w:szCs w:val="21"/>
          <w:highlight w:val="none"/>
          <w:lang w:val="en-US" w:eastAsia="zh-CN"/>
        </w:rPr>
        <w:t>联合收获</w:t>
      </w:r>
    </w:p>
    <w:p>
      <w:pPr>
        <w:pStyle w:val="13"/>
        <w:spacing w:before="156" w:beforeLines="50"/>
        <w:ind w:firstLineChars="200"/>
        <w:rPr>
          <w:rFonts w:ascii="Times New Roman" w:hAnsi="Times New Roman"/>
          <w:szCs w:val="21"/>
          <w:highlight w:val="none"/>
        </w:rPr>
      </w:pPr>
      <w:r>
        <w:rPr>
          <w:rFonts w:ascii="Times New Roman" w:hAnsi="Times New Roman"/>
          <w:szCs w:val="21"/>
          <w:highlight w:val="none"/>
        </w:rPr>
        <w:t xml:space="preserve">宜采用机械收割，收割作业标准应符合NY/T </w:t>
      </w:r>
      <w:r>
        <w:rPr>
          <w:rFonts w:hint="eastAsia" w:ascii="Times New Roman" w:hAnsi="Times New Roman"/>
          <w:szCs w:val="21"/>
          <w:highlight w:val="none"/>
          <w:lang w:val="en-US" w:eastAsia="zh-CN"/>
        </w:rPr>
        <w:t>2199</w:t>
      </w:r>
      <w:r>
        <w:rPr>
          <w:rFonts w:ascii="Times New Roman" w:hAnsi="Times New Roman"/>
          <w:szCs w:val="21"/>
          <w:highlight w:val="none"/>
        </w:rPr>
        <w:t>的要求。</w:t>
      </w:r>
      <w:r>
        <w:rPr>
          <w:rFonts w:hint="eastAsia" w:ascii="Times New Roman" w:hAnsi="Times New Roman"/>
          <w:szCs w:val="21"/>
          <w:highlight w:val="none"/>
          <w:lang w:val="en-US" w:eastAsia="zh-CN"/>
        </w:rPr>
        <w:t>在植株90%以上角果变为黄褐色、主花序籽粒颜色变成品种固有颜色时收获。</w:t>
      </w:r>
      <w:r>
        <w:rPr>
          <w:rFonts w:ascii="Times New Roman" w:hAnsi="Times New Roman"/>
          <w:szCs w:val="21"/>
          <w:highlight w:val="none"/>
        </w:rPr>
        <w:t>收获</w:t>
      </w:r>
      <w:r>
        <w:rPr>
          <w:rFonts w:ascii="Times New Roman" w:hAnsi="Times New Roman" w:eastAsia="宋体" w:cs="Times New Roman"/>
          <w:szCs w:val="21"/>
          <w:highlight w:val="none"/>
        </w:rPr>
        <w:t>后</w:t>
      </w:r>
      <w:r>
        <w:rPr>
          <w:rFonts w:hint="eastAsia" w:ascii="Times New Roman" w:hAnsi="Times New Roman" w:eastAsia="宋体" w:cs="Times New Roman"/>
          <w:szCs w:val="21"/>
          <w:highlight w:val="none"/>
          <w:lang w:val="en-US" w:eastAsia="zh-CN"/>
        </w:rPr>
        <w:t>油菜应及时脱粒，分摊晒种，</w:t>
      </w:r>
      <w:r>
        <w:rPr>
          <w:rFonts w:hint="eastAsia" w:ascii="Times New Roman" w:hAnsi="Times New Roman" w:eastAsia="宋体" w:cs="Times New Roman"/>
          <w:szCs w:val="21"/>
          <w:highlight w:val="none"/>
        </w:rPr>
        <w:t>有条件的应及时进行烘干</w:t>
      </w:r>
      <w:r>
        <w:rPr>
          <w:rFonts w:hint="eastAsia" w:ascii="Times New Roman" w:hAnsi="Times New Roman" w:eastAsia="宋体" w:cs="Times New Roman"/>
          <w:szCs w:val="21"/>
          <w:highlight w:val="none"/>
          <w:lang w:val="en-US" w:eastAsia="zh-CN"/>
        </w:rPr>
        <w:t>。</w:t>
      </w:r>
    </w:p>
    <w:p>
      <w:pPr>
        <w:widowControl/>
        <w:spacing w:before="156" w:beforeLines="50"/>
        <w:outlineLvl w:val="1"/>
        <w:rPr>
          <w:rFonts w:hint="eastAsia" w:ascii="Times New Roman" w:hAnsi="Times New Roman" w:eastAsia="黑体" w:cs="Times New Roman"/>
          <w:kern w:val="0"/>
          <w:szCs w:val="21"/>
          <w:highlight w:val="none"/>
          <w:lang w:val="en-US" w:eastAsia="zh-CN"/>
        </w:rPr>
      </w:pPr>
      <w:r>
        <w:rPr>
          <w:rFonts w:hint="eastAsia" w:ascii="黑体" w:hAnsi="黑体" w:eastAsia="黑体" w:cs="黑体"/>
          <w:b w:val="0"/>
          <w:bCs w:val="0"/>
          <w:kern w:val="0"/>
          <w:szCs w:val="21"/>
          <w:highlight w:val="none"/>
          <w:lang w:val="en-US" w:eastAsia="zh-CN"/>
        </w:rPr>
        <w:t xml:space="preserve">10.2 </w:t>
      </w:r>
      <w:r>
        <w:rPr>
          <w:rFonts w:hint="eastAsia" w:ascii="Times New Roman" w:hAnsi="Times New Roman" w:eastAsia="黑体" w:cs="Times New Roman"/>
          <w:kern w:val="0"/>
          <w:szCs w:val="21"/>
          <w:highlight w:val="none"/>
          <w:lang w:val="en-US" w:eastAsia="zh-CN"/>
        </w:rPr>
        <w:t xml:space="preserve"> 分段收获</w:t>
      </w:r>
    </w:p>
    <w:p>
      <w:pPr>
        <w:pStyle w:val="13"/>
        <w:spacing w:before="156" w:beforeLines="50"/>
        <w:ind w:firstLineChars="200"/>
        <w:rPr>
          <w:rFonts w:hint="eastAsia" w:ascii="Times New Roman" w:hAnsi="Times New Roman"/>
          <w:szCs w:val="21"/>
          <w:highlight w:val="none"/>
          <w:lang w:val="en-US" w:eastAsia="zh-CN"/>
        </w:rPr>
      </w:pPr>
      <w:r>
        <w:rPr>
          <w:rFonts w:hint="eastAsia" w:ascii="Times New Roman" w:hAnsi="Times New Roman"/>
          <w:szCs w:val="21"/>
          <w:highlight w:val="none"/>
          <w:lang w:val="en-US" w:eastAsia="zh-CN"/>
        </w:rPr>
        <w:t xml:space="preserve">在全株70% </w:t>
      </w:r>
      <w:r>
        <w:rPr>
          <w:rFonts w:hint="eastAsia" w:ascii="Times New Roman" w:hAnsi="Times New Roman" w:eastAsia="宋体" w:cs="Times New Roman"/>
          <w:szCs w:val="21"/>
          <w:highlight w:val="none"/>
          <w:lang w:val="en-US" w:eastAsia="zh-CN"/>
        </w:rPr>
        <w:t>~</w:t>
      </w:r>
      <w:r>
        <w:rPr>
          <w:rFonts w:hint="eastAsia" w:ascii="Times New Roman" w:hAnsi="Times New Roman" w:cs="Times New Roman"/>
          <w:szCs w:val="21"/>
          <w:highlight w:val="none"/>
          <w:lang w:val="en-US" w:eastAsia="zh-CN"/>
        </w:rPr>
        <w:t xml:space="preserve"> </w:t>
      </w:r>
      <w:r>
        <w:rPr>
          <w:rFonts w:hint="eastAsia" w:ascii="Times New Roman" w:hAnsi="Times New Roman"/>
          <w:szCs w:val="21"/>
          <w:highlight w:val="none"/>
          <w:lang w:val="en-US" w:eastAsia="zh-CN"/>
        </w:rPr>
        <w:t xml:space="preserve">80%角果变黄时进行割倒，晾晒5 d </w:t>
      </w:r>
      <w:r>
        <w:rPr>
          <w:rFonts w:hint="eastAsia" w:ascii="Times New Roman" w:hAnsi="Times New Roman" w:eastAsia="宋体" w:cs="Times New Roman"/>
          <w:szCs w:val="21"/>
          <w:highlight w:val="none"/>
          <w:lang w:val="en-US" w:eastAsia="zh-CN"/>
        </w:rPr>
        <w:t>~</w:t>
      </w:r>
      <w:r>
        <w:rPr>
          <w:rFonts w:hint="eastAsia" w:ascii="Times New Roman" w:hAnsi="Times New Roman" w:cs="Times New Roman"/>
          <w:szCs w:val="21"/>
          <w:highlight w:val="none"/>
          <w:lang w:val="en-US" w:eastAsia="zh-CN"/>
        </w:rPr>
        <w:t xml:space="preserve"> </w:t>
      </w:r>
      <w:r>
        <w:rPr>
          <w:rFonts w:hint="eastAsia" w:ascii="Times New Roman" w:hAnsi="Times New Roman"/>
          <w:szCs w:val="21"/>
          <w:highlight w:val="none"/>
          <w:lang w:val="en-US" w:eastAsia="zh-CN"/>
        </w:rPr>
        <w:t>7 d后捡拾。</w:t>
      </w:r>
    </w:p>
    <w:p>
      <w:pPr>
        <w:pStyle w:val="13"/>
        <w:spacing w:before="156" w:beforeLines="50"/>
        <w:ind w:firstLine="0" w:firstLineChars="0"/>
        <w:outlineLvl w:val="1"/>
        <w:rPr>
          <w:rFonts w:hint="default" w:ascii="黑体" w:hAnsi="黑体" w:eastAsia="黑体" w:cs="黑体"/>
          <w:kern w:val="0"/>
          <w:szCs w:val="21"/>
          <w:highlight w:val="none"/>
          <w:lang w:val="en-US" w:eastAsia="zh-CN"/>
        </w:rPr>
      </w:pPr>
      <w:r>
        <w:rPr>
          <w:rFonts w:hint="default" w:ascii="黑体" w:hAnsi="黑体" w:eastAsia="黑体" w:cs="黑体"/>
          <w:kern w:val="0"/>
          <w:szCs w:val="21"/>
          <w:highlight w:val="none"/>
          <w:lang w:val="en-US" w:eastAsia="zh-CN"/>
        </w:rPr>
        <w:t>10.3  油菜籽处理</w:t>
      </w:r>
    </w:p>
    <w:p>
      <w:pPr>
        <w:pStyle w:val="13"/>
        <w:spacing w:before="156" w:beforeLines="50"/>
        <w:ind w:firstLine="420" w:firstLineChars="200"/>
        <w:rPr>
          <w:rFonts w:ascii="Times New Roman" w:hAnsi="Times New Roman"/>
          <w:szCs w:val="21"/>
          <w:highlight w:val="none"/>
        </w:rPr>
      </w:pPr>
      <w:r>
        <w:rPr>
          <w:rFonts w:ascii="Times New Roman" w:hAnsi="Times New Roman"/>
          <w:szCs w:val="21"/>
          <w:highlight w:val="none"/>
        </w:rPr>
        <w:t>严控温度和水分</w:t>
      </w:r>
      <w:r>
        <w:rPr>
          <w:rFonts w:hint="eastAsia" w:ascii="Times New Roman" w:hAnsi="Times New Roman"/>
          <w:szCs w:val="21"/>
          <w:highlight w:val="none"/>
          <w:lang w:val="en-US" w:eastAsia="zh-CN"/>
        </w:rPr>
        <w:t>，在晴天露水干后进行脱粒。</w:t>
      </w:r>
    </w:p>
    <w:p>
      <w:pPr>
        <w:widowControl/>
        <w:spacing w:before="156" w:beforeLines="50" w:line="360" w:lineRule="auto"/>
        <w:outlineLvl w:val="0"/>
        <w:rPr>
          <w:rFonts w:hint="eastAsia" w:eastAsia="黑体"/>
          <w:kern w:val="0"/>
          <w:szCs w:val="21"/>
          <w:highlight w:val="none"/>
          <w:lang w:val="en-US" w:eastAsia="zh-CN"/>
        </w:rPr>
      </w:pPr>
      <w:bookmarkStart w:id="35" w:name="_Toc31024"/>
      <w:r>
        <w:rPr>
          <w:rFonts w:hint="eastAsia" w:ascii="黑体" w:hAnsi="黑体" w:eastAsia="黑体" w:cs="黑体"/>
          <w:b w:val="0"/>
          <w:bCs w:val="0"/>
          <w:kern w:val="0"/>
          <w:szCs w:val="21"/>
          <w:highlight w:val="none"/>
          <w:lang w:val="en-US" w:eastAsia="zh-CN"/>
        </w:rPr>
        <w:t xml:space="preserve">11 </w:t>
      </w:r>
      <w:r>
        <w:rPr>
          <w:rFonts w:eastAsia="黑体"/>
          <w:kern w:val="0"/>
          <w:szCs w:val="21"/>
          <w:highlight w:val="none"/>
        </w:rPr>
        <w:t xml:space="preserve"> 储运</w:t>
      </w:r>
      <w:r>
        <w:rPr>
          <w:rFonts w:hint="eastAsia" w:eastAsia="黑体"/>
          <w:kern w:val="0"/>
          <w:szCs w:val="21"/>
          <w:highlight w:val="none"/>
          <w:lang w:val="en-US" w:eastAsia="zh-CN"/>
        </w:rPr>
        <w:t>加工</w:t>
      </w:r>
      <w:bookmarkEnd w:id="35"/>
    </w:p>
    <w:p>
      <w:pPr>
        <w:widowControl/>
        <w:spacing w:before="156" w:beforeLines="50"/>
        <w:outlineLvl w:val="1"/>
        <w:rPr>
          <w:rFonts w:eastAsia="黑体"/>
          <w:kern w:val="0"/>
          <w:szCs w:val="21"/>
          <w:highlight w:val="none"/>
        </w:rPr>
      </w:pPr>
      <w:r>
        <w:rPr>
          <w:rFonts w:hint="eastAsia" w:ascii="黑体" w:hAnsi="黑体" w:eastAsia="黑体" w:cs="黑体"/>
          <w:b w:val="0"/>
          <w:bCs w:val="0"/>
          <w:kern w:val="0"/>
          <w:szCs w:val="21"/>
          <w:highlight w:val="none"/>
          <w:lang w:val="en-US" w:eastAsia="zh-CN"/>
        </w:rPr>
        <w:t>11.1</w:t>
      </w:r>
      <w:r>
        <w:rPr>
          <w:rFonts w:hint="eastAsia" w:ascii="黑体" w:hAnsi="黑体" w:eastAsia="黑体" w:cs="黑体"/>
          <w:b w:val="0"/>
          <w:bCs w:val="0"/>
          <w:kern w:val="0"/>
          <w:szCs w:val="21"/>
          <w:highlight w:val="none"/>
        </w:rPr>
        <w:t xml:space="preserve"> </w:t>
      </w:r>
      <w:r>
        <w:rPr>
          <w:rFonts w:eastAsia="黑体"/>
          <w:kern w:val="0"/>
          <w:szCs w:val="21"/>
          <w:highlight w:val="none"/>
        </w:rPr>
        <w:t xml:space="preserve"> </w:t>
      </w:r>
      <w:r>
        <w:rPr>
          <w:rFonts w:hint="eastAsia"/>
          <w:szCs w:val="21"/>
          <w:highlight w:val="none"/>
        </w:rPr>
        <w:t>达到仓储安全含水量，</w:t>
      </w:r>
      <w:r>
        <w:rPr>
          <w:szCs w:val="21"/>
          <w:highlight w:val="none"/>
        </w:rPr>
        <w:t>入库</w:t>
      </w:r>
      <w:r>
        <w:rPr>
          <w:rFonts w:hint="eastAsia"/>
          <w:szCs w:val="21"/>
          <w:highlight w:val="none"/>
          <w:lang w:val="en-US" w:eastAsia="zh-CN"/>
        </w:rPr>
        <w:t>油菜籽</w:t>
      </w:r>
      <w:r>
        <w:rPr>
          <w:szCs w:val="21"/>
          <w:highlight w:val="none"/>
        </w:rPr>
        <w:t xml:space="preserve">应符合GB </w:t>
      </w:r>
      <w:r>
        <w:rPr>
          <w:rFonts w:hint="eastAsia"/>
          <w:szCs w:val="21"/>
          <w:highlight w:val="none"/>
          <w:lang w:val="en-US" w:eastAsia="zh-CN"/>
        </w:rPr>
        <w:t>19641</w:t>
      </w:r>
      <w:r>
        <w:rPr>
          <w:szCs w:val="21"/>
          <w:highlight w:val="none"/>
        </w:rPr>
        <w:t>的规定。</w:t>
      </w:r>
    </w:p>
    <w:p>
      <w:pPr>
        <w:spacing w:before="156" w:beforeLines="50"/>
        <w:rPr>
          <w:rFonts w:hint="eastAsia"/>
          <w:highlight w:val="none"/>
        </w:rPr>
      </w:pPr>
      <w:r>
        <w:rPr>
          <w:rFonts w:hint="eastAsia" w:ascii="黑体" w:hAnsi="黑体" w:eastAsia="黑体" w:cs="黑体"/>
          <w:b w:val="0"/>
          <w:bCs w:val="0"/>
          <w:szCs w:val="21"/>
          <w:highlight w:val="none"/>
          <w:lang w:val="en-US" w:eastAsia="zh-CN"/>
        </w:rPr>
        <w:t>11.2</w:t>
      </w:r>
      <w:r>
        <w:rPr>
          <w:rFonts w:hint="eastAsia" w:ascii="黑体" w:hAnsi="黑体" w:eastAsia="黑体" w:cs="黑体"/>
          <w:b w:val="0"/>
          <w:bCs w:val="0"/>
          <w:szCs w:val="21"/>
          <w:highlight w:val="none"/>
        </w:rPr>
        <w:t xml:space="preserve"> </w:t>
      </w:r>
      <w:r>
        <w:rPr>
          <w:rFonts w:hint="eastAsia"/>
          <w:szCs w:val="21"/>
          <w:highlight w:val="none"/>
          <w:lang w:val="en-US" w:eastAsia="zh-CN"/>
        </w:rPr>
        <w:t xml:space="preserve"> </w:t>
      </w:r>
      <w:r>
        <w:rPr>
          <w:rFonts w:hint="eastAsia" w:ascii="Times New Roman" w:hAnsi="Times New Roman" w:eastAsia="宋体" w:cs="Times New Roman"/>
          <w:highlight w:val="none"/>
          <w:lang w:val="en-US" w:eastAsia="zh-CN"/>
        </w:rPr>
        <w:t>油菜籽</w:t>
      </w:r>
      <w:r>
        <w:rPr>
          <w:rFonts w:ascii="Times New Roman" w:hAnsi="Times New Roman" w:eastAsia="宋体" w:cs="Times New Roman"/>
          <w:highlight w:val="none"/>
        </w:rPr>
        <w:t>应</w:t>
      </w:r>
      <w:r>
        <w:rPr>
          <w:highlight w:val="none"/>
        </w:rPr>
        <w:t>专储、专运。</w:t>
      </w:r>
      <w:r>
        <w:rPr>
          <w:rFonts w:hint="eastAsia"/>
          <w:highlight w:val="none"/>
          <w:lang w:val="en-US" w:eastAsia="zh-CN"/>
        </w:rPr>
        <w:t>油菜籽储存应符合NY/T 1087的要求</w:t>
      </w:r>
      <w:r>
        <w:rPr>
          <w:highlight w:val="none"/>
        </w:rPr>
        <w:t>。</w:t>
      </w:r>
      <w:r>
        <w:rPr>
          <w:rFonts w:hint="eastAsia"/>
          <w:highlight w:val="none"/>
        </w:rPr>
        <w:t>储运过程</w:t>
      </w:r>
      <w:r>
        <w:rPr>
          <w:rFonts w:hint="eastAsia"/>
          <w:highlight w:val="none"/>
          <w:lang w:val="en-US" w:eastAsia="zh-CN"/>
        </w:rPr>
        <w:t>应</w:t>
      </w:r>
      <w:r>
        <w:rPr>
          <w:rFonts w:hint="eastAsia"/>
          <w:highlight w:val="none"/>
        </w:rPr>
        <w:t>符合G</w:t>
      </w:r>
      <w:r>
        <w:rPr>
          <w:highlight w:val="none"/>
        </w:rPr>
        <w:t xml:space="preserve">B </w:t>
      </w:r>
      <w:r>
        <w:rPr>
          <w:rFonts w:hint="eastAsia"/>
          <w:highlight w:val="none"/>
        </w:rPr>
        <w:t>8955的规定</w:t>
      </w:r>
      <w:r>
        <w:rPr>
          <w:rFonts w:hint="eastAsia"/>
          <w:highlight w:val="none"/>
          <w:lang w:eastAsia="zh-CN"/>
        </w:rPr>
        <w:t>，</w:t>
      </w:r>
      <w:r>
        <w:rPr>
          <w:highlight w:val="none"/>
        </w:rPr>
        <w:t>应使用符合卫生要求的运输工具</w:t>
      </w:r>
      <w:r>
        <w:rPr>
          <w:rFonts w:hint="eastAsia"/>
          <w:highlight w:val="none"/>
        </w:rPr>
        <w:t>，</w:t>
      </w:r>
      <w:r>
        <w:rPr>
          <w:highlight w:val="none"/>
        </w:rPr>
        <w:t>运输过程中应注意防止被雨淋和被污染</w:t>
      </w:r>
      <w:r>
        <w:rPr>
          <w:rFonts w:hint="eastAsia"/>
          <w:highlight w:val="none"/>
        </w:rPr>
        <w:t>。</w:t>
      </w:r>
    </w:p>
    <w:p>
      <w:pPr>
        <w:rPr>
          <w:rFonts w:ascii="Times New Roman" w:hAnsi="Times New Roman"/>
          <w:szCs w:val="21"/>
          <w:highlight w:val="none"/>
        </w:rPr>
      </w:pPr>
      <w:r>
        <w:rPr>
          <w:rFonts w:hint="eastAsia" w:ascii="黑体" w:hAnsi="黑体" w:eastAsia="黑体" w:cs="黑体"/>
          <w:highlight w:val="none"/>
          <w:lang w:val="en-US" w:eastAsia="zh-CN"/>
        </w:rPr>
        <w:t xml:space="preserve">11.3 </w:t>
      </w:r>
      <w:r>
        <w:rPr>
          <w:rFonts w:hint="eastAsia"/>
          <w:highlight w:val="none"/>
          <w:lang w:val="en-US" w:eastAsia="zh-CN"/>
        </w:rPr>
        <w:t xml:space="preserve"> </w:t>
      </w:r>
      <w:r>
        <w:rPr>
          <w:rFonts w:ascii="Times New Roman" w:hAnsi="Times New Roman"/>
          <w:szCs w:val="21"/>
          <w:highlight w:val="none"/>
        </w:rPr>
        <w:t>加工场所应保持良好的卫生状况，生产设备应易于清洗消毒、易于检查。</w:t>
      </w:r>
      <w:r>
        <w:rPr>
          <w:rFonts w:hint="eastAsia" w:ascii="Times New Roman" w:hAnsi="Times New Roman"/>
          <w:szCs w:val="21"/>
          <w:highlight w:val="none"/>
          <w:lang w:val="en-US" w:eastAsia="zh-CN"/>
        </w:rPr>
        <w:t>菜籽油</w:t>
      </w:r>
      <w:r>
        <w:rPr>
          <w:rFonts w:ascii="Times New Roman" w:hAnsi="Times New Roman"/>
          <w:szCs w:val="21"/>
          <w:highlight w:val="none"/>
        </w:rPr>
        <w:t xml:space="preserve">加工过程应符合GB/T </w:t>
      </w:r>
      <w:r>
        <w:rPr>
          <w:rFonts w:hint="eastAsia" w:ascii="Times New Roman" w:hAnsi="Times New Roman"/>
          <w:szCs w:val="21"/>
          <w:highlight w:val="none"/>
          <w:lang w:val="en-US" w:eastAsia="zh-CN"/>
        </w:rPr>
        <w:t>8955</w:t>
      </w:r>
      <w:r>
        <w:rPr>
          <w:rFonts w:ascii="Times New Roman" w:hAnsi="Times New Roman"/>
          <w:szCs w:val="21"/>
          <w:highlight w:val="none"/>
        </w:rPr>
        <w:t>的规定。</w:t>
      </w:r>
    </w:p>
    <w:p>
      <w:pPr>
        <w:pStyle w:val="13"/>
        <w:spacing w:before="156" w:beforeLines="50"/>
        <w:ind w:firstLine="0" w:firstLineChars="0"/>
        <w:rPr>
          <w:rFonts w:hint="eastAsia" w:ascii="Times New Roman" w:hAnsi="Times New Roman"/>
          <w:szCs w:val="21"/>
          <w:highlight w:val="none"/>
        </w:rPr>
      </w:pPr>
      <w:r>
        <w:rPr>
          <w:rFonts w:hint="eastAsia" w:ascii="黑体" w:hAnsi="黑体" w:eastAsia="黑体" w:cs="黑体"/>
          <w:b w:val="0"/>
          <w:bCs w:val="0"/>
          <w:kern w:val="0"/>
          <w:szCs w:val="21"/>
          <w:highlight w:val="none"/>
          <w:lang w:val="en-US" w:eastAsia="zh-CN"/>
        </w:rPr>
        <w:t xml:space="preserve">11.4  </w:t>
      </w:r>
      <w:r>
        <w:rPr>
          <w:rFonts w:hint="eastAsia" w:ascii="Times New Roman" w:hAnsi="Times New Roman"/>
          <w:szCs w:val="21"/>
          <w:highlight w:val="none"/>
          <w:lang w:val="en-US" w:eastAsia="zh-CN"/>
        </w:rPr>
        <w:t>应</w:t>
      </w:r>
      <w:r>
        <w:rPr>
          <w:rFonts w:ascii="Times New Roman" w:hAnsi="Times New Roman"/>
          <w:szCs w:val="21"/>
          <w:highlight w:val="none"/>
        </w:rPr>
        <w:t xml:space="preserve">按照产品功能定位、销售环境、分类分级、认证认可等情况选择适宜的包装标识。包装材料应无毒、环保，并符合GB/T </w:t>
      </w:r>
      <w:r>
        <w:rPr>
          <w:rFonts w:hint="eastAsia" w:ascii="Times New Roman" w:hAnsi="Times New Roman"/>
          <w:szCs w:val="21"/>
          <w:highlight w:val="none"/>
          <w:lang w:val="en-US" w:eastAsia="zh-CN"/>
        </w:rPr>
        <w:t>17374</w:t>
      </w:r>
      <w:r>
        <w:rPr>
          <w:rFonts w:ascii="Times New Roman" w:hAnsi="Times New Roman"/>
          <w:szCs w:val="21"/>
          <w:highlight w:val="none"/>
        </w:rPr>
        <w:t>的规定。标识应规范、清晰、不褪色</w:t>
      </w:r>
      <w:r>
        <w:rPr>
          <w:rFonts w:hint="eastAsia" w:ascii="Times New Roman" w:hAnsi="Times New Roman"/>
          <w:szCs w:val="21"/>
          <w:highlight w:val="none"/>
        </w:rPr>
        <w:t>，成品</w:t>
      </w:r>
      <w:r>
        <w:rPr>
          <w:rFonts w:hint="eastAsia" w:ascii="Times New Roman" w:hAnsi="Times New Roman"/>
          <w:szCs w:val="21"/>
          <w:highlight w:val="none"/>
          <w:lang w:val="en-US" w:eastAsia="zh-CN"/>
        </w:rPr>
        <w:t>油</w:t>
      </w:r>
      <w:r>
        <w:rPr>
          <w:rFonts w:hint="eastAsia" w:ascii="Times New Roman" w:hAnsi="Times New Roman"/>
          <w:szCs w:val="21"/>
          <w:highlight w:val="none"/>
        </w:rPr>
        <w:t>标签应符合</w:t>
      </w:r>
      <w:r>
        <w:rPr>
          <w:rFonts w:ascii="Times New Roman" w:hAnsi="Times New Roman"/>
          <w:szCs w:val="21"/>
          <w:highlight w:val="none"/>
        </w:rPr>
        <w:t>GB 7718</w:t>
      </w:r>
      <w:r>
        <w:rPr>
          <w:rFonts w:hint="eastAsia" w:ascii="Times New Roman" w:hAnsi="Times New Roman"/>
          <w:szCs w:val="21"/>
          <w:highlight w:val="none"/>
        </w:rPr>
        <w:t>的规定。</w:t>
      </w:r>
    </w:p>
    <w:p>
      <w:pPr>
        <w:pStyle w:val="13"/>
        <w:spacing w:before="156" w:beforeLines="50"/>
        <w:ind w:left="0" w:leftChars="0" w:firstLine="0" w:firstLineChars="0"/>
        <w:rPr>
          <w:rFonts w:ascii="Times New Roman" w:hAnsi="Times New Roman"/>
          <w:szCs w:val="21"/>
          <w:highlight w:val="none"/>
        </w:rPr>
      </w:pPr>
      <w:r>
        <w:rPr>
          <w:rFonts w:hint="eastAsia" w:ascii="黑体" w:hAnsi="黑体" w:eastAsia="黑体" w:cs="黑体"/>
          <w:szCs w:val="21"/>
          <w:highlight w:val="none"/>
          <w:lang w:val="en-US" w:eastAsia="zh-CN"/>
        </w:rPr>
        <w:t>11.5</w:t>
      </w:r>
      <w:r>
        <w:rPr>
          <w:rFonts w:hint="eastAsia" w:ascii="Times New Roman" w:hAnsi="Times New Roman"/>
          <w:szCs w:val="21"/>
          <w:highlight w:val="none"/>
          <w:lang w:val="en-US" w:eastAsia="zh-CN"/>
        </w:rPr>
        <w:t xml:space="preserve">  </w:t>
      </w:r>
      <w:r>
        <w:rPr>
          <w:rFonts w:ascii="Times New Roman" w:hAnsi="Times New Roman"/>
          <w:szCs w:val="21"/>
          <w:highlight w:val="none"/>
        </w:rPr>
        <w:t>产品</w:t>
      </w:r>
      <w:r>
        <w:rPr>
          <w:rFonts w:hint="eastAsia" w:ascii="Times New Roman" w:hAnsi="Times New Roman"/>
          <w:szCs w:val="21"/>
          <w:highlight w:val="none"/>
        </w:rPr>
        <w:t>卫生</w:t>
      </w:r>
      <w:r>
        <w:rPr>
          <w:rFonts w:ascii="Times New Roman" w:hAnsi="Times New Roman"/>
          <w:szCs w:val="21"/>
          <w:highlight w:val="none"/>
        </w:rPr>
        <w:t>指标应符合GB 271</w:t>
      </w:r>
      <w:r>
        <w:rPr>
          <w:rFonts w:hint="eastAsia" w:ascii="Times New Roman" w:hAnsi="Times New Roman"/>
          <w:szCs w:val="21"/>
          <w:highlight w:val="none"/>
          <w:lang w:val="en-US" w:eastAsia="zh-CN"/>
        </w:rPr>
        <w:t>6、GB 19641</w:t>
      </w:r>
      <w:r>
        <w:rPr>
          <w:rFonts w:hint="eastAsia" w:ascii="Times New Roman" w:hAnsi="Times New Roman"/>
          <w:szCs w:val="21"/>
          <w:highlight w:val="none"/>
        </w:rPr>
        <w:t>等食品安全</w:t>
      </w:r>
      <w:r>
        <w:rPr>
          <w:rFonts w:ascii="Times New Roman" w:hAnsi="Times New Roman"/>
          <w:szCs w:val="21"/>
          <w:highlight w:val="none"/>
        </w:rPr>
        <w:t>国家</w:t>
      </w:r>
      <w:r>
        <w:rPr>
          <w:rFonts w:hint="eastAsia" w:ascii="Times New Roman" w:hAnsi="Times New Roman"/>
          <w:szCs w:val="21"/>
          <w:highlight w:val="none"/>
        </w:rPr>
        <w:t>标准</w:t>
      </w:r>
      <w:r>
        <w:rPr>
          <w:rFonts w:ascii="Times New Roman" w:hAnsi="Times New Roman"/>
          <w:szCs w:val="21"/>
          <w:highlight w:val="none"/>
        </w:rPr>
        <w:t>的规定</w:t>
      </w:r>
      <w:r>
        <w:rPr>
          <w:rFonts w:hint="eastAsia" w:ascii="Times New Roman" w:hAnsi="Times New Roman"/>
          <w:szCs w:val="21"/>
          <w:highlight w:val="none"/>
        </w:rPr>
        <w:t>，</w:t>
      </w:r>
      <w:r>
        <w:rPr>
          <w:rFonts w:hint="eastAsia" w:ascii="Times New Roman" w:hAnsi="Times New Roman"/>
          <w:szCs w:val="21"/>
          <w:highlight w:val="none"/>
          <w:lang w:val="en-US" w:eastAsia="zh-CN"/>
        </w:rPr>
        <w:t>油菜籽质量应符合</w:t>
      </w:r>
      <w:r>
        <w:rPr>
          <w:rFonts w:hint="eastAsia" w:ascii="Times New Roman"/>
          <w:kern w:val="2"/>
          <w:szCs w:val="21"/>
          <w:highlight w:val="none"/>
          <w:lang w:val="en-US" w:eastAsia="zh-CN"/>
        </w:rPr>
        <w:t>GB/T 11762的规定，</w:t>
      </w:r>
      <w:r>
        <w:rPr>
          <w:rFonts w:ascii="Times New Roman" w:hAnsi="Times New Roman"/>
          <w:szCs w:val="21"/>
          <w:highlight w:val="none"/>
        </w:rPr>
        <w:t>成品</w:t>
      </w:r>
      <w:r>
        <w:rPr>
          <w:rFonts w:hint="eastAsia" w:ascii="Times New Roman" w:hAnsi="Times New Roman"/>
          <w:szCs w:val="21"/>
          <w:highlight w:val="none"/>
          <w:lang w:val="en-US" w:eastAsia="zh-CN"/>
        </w:rPr>
        <w:t>菜籽油</w:t>
      </w:r>
      <w:r>
        <w:rPr>
          <w:rFonts w:hint="eastAsia" w:ascii="Times New Roman" w:hAnsi="Times New Roman"/>
          <w:szCs w:val="21"/>
          <w:highlight w:val="none"/>
        </w:rPr>
        <w:t>质量</w:t>
      </w:r>
      <w:r>
        <w:rPr>
          <w:rFonts w:ascii="Times New Roman" w:hAnsi="Times New Roman"/>
          <w:szCs w:val="21"/>
          <w:highlight w:val="none"/>
        </w:rPr>
        <w:t>应符合GB/T 1</w:t>
      </w:r>
      <w:r>
        <w:rPr>
          <w:rFonts w:hint="eastAsia" w:ascii="Times New Roman" w:hAnsi="Times New Roman"/>
          <w:szCs w:val="21"/>
          <w:highlight w:val="none"/>
          <w:lang w:val="en-US" w:eastAsia="zh-CN"/>
        </w:rPr>
        <w:t>536</w:t>
      </w:r>
      <w:r>
        <w:rPr>
          <w:rFonts w:ascii="Times New Roman" w:hAnsi="Times New Roman"/>
          <w:szCs w:val="21"/>
          <w:highlight w:val="none"/>
        </w:rPr>
        <w:t>的规定。</w:t>
      </w:r>
    </w:p>
    <w:p>
      <w:pPr>
        <w:pStyle w:val="13"/>
        <w:spacing w:before="156" w:beforeLines="50"/>
        <w:ind w:firstLine="0"/>
        <w:rPr>
          <w:rFonts w:hint="default" w:ascii="Times New Roman" w:hAnsi="Times New Roman" w:eastAsia="宋体"/>
          <w:szCs w:val="21"/>
          <w:highlight w:val="none"/>
          <w:lang w:val="en-US" w:eastAsia="zh-CN"/>
        </w:rPr>
      </w:pPr>
      <w:r>
        <w:rPr>
          <w:rFonts w:hint="eastAsia" w:ascii="黑体" w:hAnsi="黑体" w:eastAsia="黑体" w:cs="黑体"/>
          <w:szCs w:val="21"/>
          <w:highlight w:val="none"/>
          <w:lang w:val="en-US" w:eastAsia="zh-CN"/>
        </w:rPr>
        <w:t xml:space="preserve">11.6  </w:t>
      </w:r>
      <w:r>
        <w:rPr>
          <w:rFonts w:ascii="Times New Roman" w:hAnsi="Times New Roman"/>
          <w:szCs w:val="21"/>
          <w:highlight w:val="none"/>
        </w:rPr>
        <w:t>应对产品质量进行评估</w:t>
      </w:r>
      <w:r>
        <w:rPr>
          <w:rFonts w:hint="eastAsia" w:ascii="Times New Roman" w:hAnsi="Times New Roman"/>
          <w:szCs w:val="21"/>
          <w:highlight w:val="none"/>
          <w:lang w:eastAsia="zh-CN"/>
        </w:rPr>
        <w:t>，</w:t>
      </w:r>
      <w:r>
        <w:rPr>
          <w:kern w:val="0"/>
          <w:szCs w:val="21"/>
          <w:highlight w:val="none"/>
        </w:rPr>
        <w:t>建立</w:t>
      </w:r>
      <w:r>
        <w:rPr>
          <w:rFonts w:hint="eastAsia"/>
          <w:kern w:val="0"/>
          <w:szCs w:val="21"/>
          <w:highlight w:val="none"/>
          <w:lang w:val="en-US" w:eastAsia="zh-CN"/>
        </w:rPr>
        <w:t>检测台账</w:t>
      </w:r>
      <w:r>
        <w:rPr>
          <w:rFonts w:hint="eastAsia" w:ascii="Times New Roman" w:hAnsi="Times New Roman"/>
          <w:szCs w:val="21"/>
          <w:highlight w:val="none"/>
          <w:lang w:eastAsia="zh-CN"/>
        </w:rPr>
        <w:t>。</w:t>
      </w:r>
      <w:r>
        <w:rPr>
          <w:rFonts w:ascii="Times New Roman" w:hAnsi="Times New Roman"/>
          <w:szCs w:val="21"/>
          <w:highlight w:val="none"/>
        </w:rPr>
        <w:t>确保</w:t>
      </w:r>
      <w:r>
        <w:rPr>
          <w:rFonts w:hint="eastAsia" w:ascii="Times New Roman" w:hAnsi="Times New Roman"/>
          <w:szCs w:val="21"/>
          <w:highlight w:val="none"/>
          <w:lang w:val="en-US" w:eastAsia="zh-CN"/>
        </w:rPr>
        <w:t>质量</w:t>
      </w:r>
      <w:r>
        <w:rPr>
          <w:rFonts w:ascii="Times New Roman" w:hAnsi="Times New Roman"/>
          <w:szCs w:val="21"/>
          <w:highlight w:val="none"/>
        </w:rPr>
        <w:t>合格后</w:t>
      </w:r>
      <w:r>
        <w:rPr>
          <w:rFonts w:hint="eastAsia" w:ascii="Times New Roman" w:hAnsi="Times New Roman"/>
          <w:szCs w:val="21"/>
          <w:highlight w:val="none"/>
          <w:lang w:eastAsia="zh-CN"/>
        </w:rPr>
        <w:t>，</w:t>
      </w:r>
      <w:r>
        <w:rPr>
          <w:rFonts w:ascii="Times New Roman" w:hAnsi="Times New Roman"/>
          <w:szCs w:val="21"/>
          <w:highlight w:val="none"/>
        </w:rPr>
        <w:t>附承诺达标合格证</w:t>
      </w:r>
      <w:r>
        <w:rPr>
          <w:rFonts w:hint="eastAsia" w:ascii="Times New Roman" w:hAnsi="Times New Roman"/>
          <w:szCs w:val="21"/>
          <w:highlight w:val="none"/>
          <w:lang w:val="en-US" w:eastAsia="zh-CN"/>
        </w:rPr>
        <w:t>进行</w:t>
      </w:r>
      <w:r>
        <w:rPr>
          <w:rFonts w:ascii="Times New Roman" w:hAnsi="Times New Roman"/>
          <w:szCs w:val="21"/>
          <w:highlight w:val="none"/>
        </w:rPr>
        <w:t>销售。</w:t>
      </w:r>
    </w:p>
    <w:p>
      <w:pPr>
        <w:widowControl/>
        <w:spacing w:before="156" w:beforeLines="50" w:line="360" w:lineRule="auto"/>
        <w:outlineLvl w:val="0"/>
        <w:rPr>
          <w:rFonts w:eastAsia="黑体"/>
          <w:kern w:val="0"/>
          <w:szCs w:val="20"/>
          <w:highlight w:val="none"/>
        </w:rPr>
      </w:pPr>
      <w:bookmarkStart w:id="36" w:name="_Toc27731"/>
      <w:r>
        <w:rPr>
          <w:rFonts w:hint="eastAsia" w:ascii="黑体" w:hAnsi="黑体" w:eastAsia="黑体" w:cs="黑体"/>
          <w:b w:val="0"/>
          <w:bCs w:val="0"/>
          <w:kern w:val="0"/>
          <w:szCs w:val="21"/>
          <w:highlight w:val="none"/>
          <w:lang w:val="en-US" w:eastAsia="zh-CN"/>
        </w:rPr>
        <w:t>12</w:t>
      </w:r>
      <w:r>
        <w:rPr>
          <w:rFonts w:hint="eastAsia" w:ascii="黑体" w:hAnsi="黑体" w:eastAsia="黑体" w:cs="黑体"/>
          <w:b w:val="0"/>
          <w:bCs w:val="0"/>
          <w:kern w:val="0"/>
          <w:szCs w:val="21"/>
          <w:highlight w:val="none"/>
        </w:rPr>
        <w:t xml:space="preserve"> </w:t>
      </w:r>
      <w:r>
        <w:rPr>
          <w:rFonts w:eastAsia="黑体"/>
          <w:kern w:val="0"/>
          <w:szCs w:val="21"/>
          <w:highlight w:val="none"/>
        </w:rPr>
        <w:t xml:space="preserve"> 废弃物处置</w:t>
      </w:r>
      <w:bookmarkEnd w:id="36"/>
      <w:r>
        <w:rPr>
          <w:rFonts w:eastAsia="黑体"/>
          <w:kern w:val="0"/>
          <w:szCs w:val="21"/>
          <w:highlight w:val="none"/>
        </w:rPr>
        <w:t xml:space="preserve"> </w:t>
      </w:r>
    </w:p>
    <w:p>
      <w:pPr>
        <w:spacing w:before="156" w:beforeLines="50"/>
        <w:rPr>
          <w:szCs w:val="21"/>
          <w:highlight w:val="none"/>
        </w:rPr>
      </w:pPr>
      <w:r>
        <w:rPr>
          <w:rFonts w:hint="eastAsia" w:ascii="黑体" w:hAnsi="黑体" w:eastAsia="黑体" w:cs="黑体"/>
          <w:b w:val="0"/>
          <w:bCs w:val="0"/>
          <w:szCs w:val="21"/>
          <w:highlight w:val="none"/>
          <w:lang w:val="en-US" w:eastAsia="zh-CN"/>
        </w:rPr>
        <w:t>12.1</w:t>
      </w:r>
      <w:r>
        <w:rPr>
          <w:szCs w:val="21"/>
          <w:highlight w:val="none"/>
        </w:rPr>
        <w:t xml:space="preserve">  </w:t>
      </w:r>
      <w:r>
        <w:rPr>
          <w:rFonts w:ascii="Times New Roman" w:eastAsia="宋体"/>
          <w:kern w:val="2"/>
          <w:szCs w:val="21"/>
          <w:highlight w:val="none"/>
        </w:rPr>
        <w:t>应设立废弃物存放区，</w:t>
      </w:r>
      <w:r>
        <w:rPr>
          <w:rFonts w:hint="eastAsia"/>
          <w:szCs w:val="21"/>
          <w:highlight w:val="none"/>
        </w:rPr>
        <w:t>农药废弃物</w:t>
      </w:r>
      <w:r>
        <w:rPr>
          <w:szCs w:val="21"/>
          <w:highlight w:val="none"/>
        </w:rPr>
        <w:t>的处理按NY/T 12</w:t>
      </w:r>
      <w:r>
        <w:rPr>
          <w:rFonts w:hint="eastAsia"/>
          <w:szCs w:val="21"/>
          <w:highlight w:val="none"/>
        </w:rPr>
        <w:t>7</w:t>
      </w:r>
      <w:r>
        <w:rPr>
          <w:szCs w:val="21"/>
          <w:highlight w:val="none"/>
        </w:rPr>
        <w:t>6</w:t>
      </w:r>
      <w:r>
        <w:rPr>
          <w:rFonts w:hint="eastAsia"/>
          <w:szCs w:val="21"/>
          <w:highlight w:val="none"/>
        </w:rPr>
        <w:t>和《农药包装废弃物回收处理管理办法》的规定</w:t>
      </w:r>
      <w:r>
        <w:rPr>
          <w:szCs w:val="21"/>
          <w:highlight w:val="none"/>
        </w:rPr>
        <w:t>执行，</w:t>
      </w:r>
      <w:r>
        <w:rPr>
          <w:rFonts w:hint="eastAsia"/>
          <w:szCs w:val="21"/>
          <w:highlight w:val="none"/>
        </w:rPr>
        <w:t>肥料废弃物按照《农业农村部办公厅关于肥料包装废弃物回收处理的指导意见》的规定执行。</w:t>
      </w:r>
      <w:r>
        <w:rPr>
          <w:szCs w:val="21"/>
          <w:highlight w:val="none"/>
        </w:rPr>
        <w:t>使用过的基质</w:t>
      </w:r>
      <w:r>
        <w:rPr>
          <w:rFonts w:hint="eastAsia"/>
          <w:szCs w:val="21"/>
          <w:highlight w:val="none"/>
          <w:lang w:eastAsia="zh-CN"/>
        </w:rPr>
        <w:t>、</w:t>
      </w:r>
      <w:r>
        <w:rPr>
          <w:szCs w:val="21"/>
          <w:highlight w:val="none"/>
        </w:rPr>
        <w:t>清洗废液</w:t>
      </w:r>
      <w:r>
        <w:rPr>
          <w:rFonts w:hint="eastAsia"/>
          <w:szCs w:val="21"/>
          <w:highlight w:val="none"/>
          <w:lang w:eastAsia="zh-CN"/>
        </w:rPr>
        <w:t>、</w:t>
      </w:r>
      <w:r>
        <w:rPr>
          <w:rFonts w:hint="eastAsia"/>
          <w:szCs w:val="21"/>
          <w:highlight w:val="none"/>
          <w:lang w:val="en-US" w:eastAsia="zh-CN"/>
        </w:rPr>
        <w:t>包装容器</w:t>
      </w:r>
      <w:r>
        <w:rPr>
          <w:szCs w:val="21"/>
          <w:highlight w:val="none"/>
        </w:rPr>
        <w:t>等</w:t>
      </w:r>
      <w:r>
        <w:rPr>
          <w:rFonts w:hint="eastAsia"/>
          <w:szCs w:val="21"/>
          <w:highlight w:val="none"/>
        </w:rPr>
        <w:t>其他</w:t>
      </w:r>
      <w:r>
        <w:rPr>
          <w:rFonts w:hint="eastAsia"/>
          <w:szCs w:val="21"/>
          <w:highlight w:val="none"/>
          <w:lang w:val="en-US" w:eastAsia="zh-CN"/>
        </w:rPr>
        <w:t>废弃物</w:t>
      </w:r>
      <w:r>
        <w:rPr>
          <w:szCs w:val="21"/>
          <w:highlight w:val="none"/>
        </w:rPr>
        <w:t>按照GB/T 30102、GH/T 1355和GH/T 1354的要求进行处置。</w:t>
      </w:r>
    </w:p>
    <w:p>
      <w:pPr>
        <w:pStyle w:val="54"/>
        <w:numPr>
          <w:ilvl w:val="0"/>
          <w:numId w:val="0"/>
        </w:numPr>
        <w:spacing w:before="156" w:beforeLines="50" w:after="0" w:afterLines="0"/>
        <w:rPr>
          <w:rFonts w:hint="default" w:eastAsia="黑体"/>
          <w:szCs w:val="21"/>
          <w:highlight w:val="none"/>
          <w:lang w:val="en-US" w:eastAsia="zh-CN"/>
        </w:rPr>
      </w:pPr>
      <w:r>
        <w:rPr>
          <w:rFonts w:hint="eastAsia" w:hAnsi="黑体" w:cs="黑体"/>
          <w:b w:val="0"/>
          <w:bCs w:val="0"/>
          <w:kern w:val="2"/>
          <w:szCs w:val="21"/>
          <w:highlight w:val="none"/>
          <w:lang w:val="en-US" w:eastAsia="zh-CN"/>
        </w:rPr>
        <w:t>12.2</w:t>
      </w:r>
      <w:r>
        <w:rPr>
          <w:rFonts w:hint="eastAsia" w:ascii="黑体" w:hAnsi="黑体" w:eastAsia="黑体" w:cs="黑体"/>
          <w:b w:val="0"/>
          <w:bCs w:val="0"/>
          <w:kern w:val="2"/>
          <w:szCs w:val="21"/>
          <w:highlight w:val="none"/>
        </w:rPr>
        <w:t xml:space="preserve"> </w:t>
      </w:r>
      <w:r>
        <w:rPr>
          <w:rFonts w:ascii="Times New Roman" w:eastAsia="宋体"/>
          <w:kern w:val="2"/>
          <w:szCs w:val="21"/>
          <w:highlight w:val="none"/>
        </w:rPr>
        <w:t xml:space="preserve"> </w:t>
      </w:r>
      <w:r>
        <w:rPr>
          <w:rFonts w:hint="eastAsia" w:ascii="Times New Roman" w:eastAsia="宋体"/>
          <w:kern w:val="2"/>
          <w:szCs w:val="21"/>
          <w:highlight w:val="none"/>
          <w:lang w:val="en-US" w:eastAsia="zh-CN"/>
        </w:rPr>
        <w:t>油菜</w:t>
      </w:r>
      <w:r>
        <w:rPr>
          <w:rFonts w:ascii="Times New Roman" w:eastAsia="宋体"/>
          <w:kern w:val="2"/>
          <w:szCs w:val="21"/>
          <w:highlight w:val="none"/>
        </w:rPr>
        <w:t>生产的副产品</w:t>
      </w:r>
      <w:r>
        <w:rPr>
          <w:rFonts w:hint="eastAsia" w:ascii="Times New Roman" w:eastAsia="宋体"/>
          <w:kern w:val="2"/>
          <w:szCs w:val="21"/>
          <w:highlight w:val="none"/>
        </w:rPr>
        <w:t>（</w:t>
      </w:r>
      <w:r>
        <w:rPr>
          <w:rFonts w:ascii="Times New Roman" w:eastAsia="宋体"/>
          <w:kern w:val="2"/>
          <w:szCs w:val="21"/>
          <w:highlight w:val="none"/>
        </w:rPr>
        <w:t>如</w:t>
      </w:r>
      <w:r>
        <w:rPr>
          <w:rFonts w:hint="eastAsia" w:ascii="Times New Roman" w:eastAsia="宋体"/>
          <w:kern w:val="2"/>
          <w:szCs w:val="21"/>
          <w:highlight w:val="none"/>
          <w:lang w:val="en-US" w:eastAsia="zh-CN"/>
        </w:rPr>
        <w:t>菜粕</w:t>
      </w:r>
      <w:r>
        <w:rPr>
          <w:rFonts w:ascii="Times New Roman" w:eastAsia="宋体"/>
          <w:kern w:val="2"/>
          <w:szCs w:val="21"/>
          <w:highlight w:val="none"/>
        </w:rPr>
        <w:t>、</w:t>
      </w:r>
      <w:r>
        <w:rPr>
          <w:rFonts w:hint="eastAsia" w:ascii="Times New Roman" w:eastAsia="宋体"/>
          <w:kern w:val="2"/>
          <w:szCs w:val="21"/>
          <w:highlight w:val="none"/>
          <w:lang w:val="en-US" w:eastAsia="zh-CN"/>
        </w:rPr>
        <w:t>茎秆、荚壳</w:t>
      </w:r>
      <w:r>
        <w:rPr>
          <w:rFonts w:ascii="Times New Roman" w:eastAsia="宋体"/>
          <w:kern w:val="2"/>
          <w:szCs w:val="21"/>
          <w:highlight w:val="none"/>
        </w:rPr>
        <w:t>等</w:t>
      </w:r>
      <w:r>
        <w:rPr>
          <w:rFonts w:hint="eastAsia" w:ascii="Times New Roman" w:eastAsia="宋体"/>
          <w:kern w:val="2"/>
          <w:szCs w:val="21"/>
          <w:highlight w:val="none"/>
        </w:rPr>
        <w:t>）</w:t>
      </w:r>
      <w:r>
        <w:rPr>
          <w:rFonts w:ascii="Times New Roman" w:eastAsia="宋体"/>
          <w:kern w:val="2"/>
          <w:szCs w:val="21"/>
          <w:highlight w:val="none"/>
        </w:rPr>
        <w:t>应</w:t>
      </w:r>
      <w:r>
        <w:rPr>
          <w:rFonts w:hint="eastAsia" w:ascii="Times New Roman" w:eastAsia="宋体"/>
          <w:kern w:val="2"/>
          <w:szCs w:val="21"/>
          <w:highlight w:val="none"/>
          <w:lang w:val="en-US" w:eastAsia="zh-CN"/>
        </w:rPr>
        <w:t>进行</w:t>
      </w:r>
      <w:r>
        <w:rPr>
          <w:rFonts w:ascii="Times New Roman" w:eastAsia="宋体"/>
          <w:kern w:val="2"/>
          <w:szCs w:val="21"/>
          <w:highlight w:val="none"/>
        </w:rPr>
        <w:t>综合开发、合理利用。</w:t>
      </w:r>
    </w:p>
    <w:p>
      <w:pPr>
        <w:widowControl/>
        <w:numPr>
          <w:ilvl w:val="0"/>
          <w:numId w:val="0"/>
        </w:numPr>
        <w:tabs>
          <w:tab w:val="left" w:pos="360"/>
        </w:tabs>
        <w:spacing w:before="156" w:beforeLines="50" w:line="360" w:lineRule="auto"/>
        <w:outlineLvl w:val="0"/>
        <w:rPr>
          <w:rFonts w:eastAsia="黑体"/>
          <w:kern w:val="0"/>
          <w:szCs w:val="21"/>
          <w:highlight w:val="none"/>
        </w:rPr>
      </w:pPr>
      <w:bookmarkStart w:id="37" w:name="_Toc14373"/>
      <w:r>
        <w:rPr>
          <w:rFonts w:hint="eastAsia" w:ascii="黑体" w:hAnsi="黑体" w:eastAsia="黑体" w:cs="黑体"/>
          <w:kern w:val="0"/>
          <w:szCs w:val="21"/>
          <w:highlight w:val="none"/>
          <w:lang w:val="en-US" w:eastAsia="zh-CN"/>
        </w:rPr>
        <w:t>13</w:t>
      </w:r>
      <w:r>
        <w:rPr>
          <w:rFonts w:hint="eastAsia" w:ascii="黑体" w:hAnsi="黑体" w:eastAsia="黑体" w:cs="黑体"/>
          <w:b w:val="0"/>
          <w:bCs w:val="0"/>
          <w:kern w:val="0"/>
          <w:szCs w:val="21"/>
          <w:highlight w:val="none"/>
          <w:lang w:val="en-US" w:eastAsia="zh-CN"/>
        </w:rPr>
        <w:t xml:space="preserve"> </w:t>
      </w:r>
      <w:r>
        <w:rPr>
          <w:rFonts w:eastAsia="黑体"/>
          <w:kern w:val="0"/>
          <w:szCs w:val="21"/>
          <w:highlight w:val="none"/>
        </w:rPr>
        <w:t xml:space="preserve"> 可追溯管理</w:t>
      </w:r>
      <w:bookmarkEnd w:id="37"/>
    </w:p>
    <w:p>
      <w:pPr>
        <w:widowControl/>
        <w:spacing w:before="156" w:beforeLines="50"/>
        <w:outlineLvl w:val="3"/>
        <w:rPr>
          <w:rFonts w:hint="eastAsia" w:eastAsia="宋体"/>
          <w:szCs w:val="21"/>
          <w:highlight w:val="none"/>
          <w:lang w:val="en-US" w:eastAsia="zh-CN"/>
        </w:rPr>
      </w:pPr>
      <w:r>
        <w:rPr>
          <w:rFonts w:hint="eastAsia" w:ascii="黑体" w:hAnsi="黑体" w:eastAsia="黑体" w:cs="黑体"/>
          <w:b w:val="0"/>
          <w:bCs w:val="0"/>
          <w:kern w:val="2"/>
          <w:sz w:val="21"/>
          <w:szCs w:val="21"/>
          <w:highlight w:val="none"/>
          <w:lang w:val="en-US" w:eastAsia="zh-CN" w:bidi="ar-SA"/>
        </w:rPr>
        <w:t>13.1</w:t>
      </w:r>
      <w:r>
        <w:rPr>
          <w:rFonts w:ascii="Times New Roman" w:hAnsi="Times New Roman" w:eastAsia="宋体" w:cs="Times New Roman"/>
          <w:kern w:val="2"/>
          <w:sz w:val="21"/>
          <w:szCs w:val="21"/>
          <w:highlight w:val="none"/>
          <w:lang w:val="en-US" w:eastAsia="zh-CN" w:bidi="ar-SA"/>
        </w:rPr>
        <w:t xml:space="preserve">  </w:t>
      </w:r>
      <w:r>
        <w:rPr>
          <w:szCs w:val="21"/>
          <w:highlight w:val="none"/>
        </w:rPr>
        <w:t>产品应有完善的</w:t>
      </w:r>
      <w:r>
        <w:rPr>
          <w:rFonts w:hint="eastAsia"/>
          <w:szCs w:val="21"/>
          <w:highlight w:val="none"/>
          <w:lang w:val="en-US" w:eastAsia="zh-CN"/>
        </w:rPr>
        <w:t>生产</w:t>
      </w:r>
      <w:r>
        <w:rPr>
          <w:szCs w:val="21"/>
          <w:highlight w:val="none"/>
        </w:rPr>
        <w:t>档案</w:t>
      </w:r>
      <w:r>
        <w:rPr>
          <w:rFonts w:hint="eastAsia"/>
          <w:szCs w:val="21"/>
          <w:highlight w:val="none"/>
        </w:rPr>
        <w:t>，</w:t>
      </w:r>
      <w:r>
        <w:rPr>
          <w:rFonts w:hint="eastAsia"/>
          <w:szCs w:val="21"/>
          <w:highlight w:val="none"/>
          <w:lang w:val="en-US" w:eastAsia="zh-CN"/>
        </w:rPr>
        <w:t>形成完整的可追溯链条。</w:t>
      </w:r>
      <w:r>
        <w:rPr>
          <w:rFonts w:hint="eastAsia" w:ascii="Times New Roman" w:eastAsia="宋体"/>
          <w:highlight w:val="none"/>
        </w:rPr>
        <w:t>档案</w:t>
      </w:r>
      <w:r>
        <w:rPr>
          <w:rFonts w:ascii="Times New Roman" w:eastAsia="宋体"/>
          <w:highlight w:val="none"/>
        </w:rPr>
        <w:t>记录应妥善保存，保留</w:t>
      </w:r>
      <w:r>
        <w:rPr>
          <w:rFonts w:hint="eastAsia" w:ascii="Times New Roman" w:eastAsia="宋体"/>
          <w:highlight w:val="none"/>
        </w:rPr>
        <w:t>2</w:t>
      </w:r>
      <w:r>
        <w:rPr>
          <w:rFonts w:ascii="Times New Roman" w:eastAsia="宋体"/>
          <w:highlight w:val="none"/>
        </w:rPr>
        <w:t>年</w:t>
      </w:r>
      <w:r>
        <w:rPr>
          <w:rFonts w:hint="eastAsia" w:ascii="Times New Roman" w:eastAsia="宋体"/>
          <w:highlight w:val="none"/>
          <w:lang w:val="en-US" w:eastAsia="zh-CN"/>
        </w:rPr>
        <w:t>以上</w:t>
      </w:r>
      <w:r>
        <w:rPr>
          <w:rFonts w:hint="eastAsia" w:ascii="Times New Roman" w:eastAsia="宋体"/>
          <w:highlight w:val="none"/>
          <w:lang w:eastAsia="zh-CN"/>
        </w:rPr>
        <w:t>。</w:t>
      </w:r>
    </w:p>
    <w:p>
      <w:pPr>
        <w:widowControl/>
        <w:spacing w:before="156" w:beforeLines="50"/>
        <w:outlineLvl w:val="1"/>
        <w:rPr>
          <w:szCs w:val="21"/>
          <w:highlight w:val="none"/>
        </w:rPr>
      </w:pPr>
      <w:r>
        <w:rPr>
          <w:rFonts w:hint="eastAsia" w:ascii="黑体" w:hAnsi="黑体" w:eastAsia="黑体" w:cs="黑体"/>
          <w:b w:val="0"/>
          <w:bCs w:val="0"/>
          <w:szCs w:val="21"/>
          <w:highlight w:val="none"/>
          <w:lang w:val="en-US" w:eastAsia="zh-CN"/>
        </w:rPr>
        <w:t xml:space="preserve">13.2 </w:t>
      </w:r>
      <w:r>
        <w:rPr>
          <w:rFonts w:hint="eastAsia"/>
          <w:szCs w:val="21"/>
          <w:highlight w:val="none"/>
          <w:lang w:val="en-US" w:eastAsia="zh-CN"/>
        </w:rPr>
        <w:t xml:space="preserve"> 应</w:t>
      </w:r>
      <w:r>
        <w:rPr>
          <w:rFonts w:hint="eastAsia" w:ascii="Times New Roman" w:hAnsi="Times New Roman" w:eastAsia="宋体" w:cs="Times New Roman"/>
          <w:kern w:val="2"/>
          <w:sz w:val="21"/>
          <w:szCs w:val="21"/>
          <w:highlight w:val="none"/>
          <w:lang w:val="en-US" w:eastAsia="zh-CN" w:bidi="ar-SA"/>
        </w:rPr>
        <w:t>建立信息化追溯系统，</w:t>
      </w:r>
      <w:r>
        <w:rPr>
          <w:szCs w:val="21"/>
          <w:highlight w:val="none"/>
        </w:rPr>
        <w:t>实现生产销售全过程可追溯。</w:t>
      </w:r>
    </w:p>
    <w:p>
      <w:pPr>
        <w:pStyle w:val="25"/>
        <w:rPr>
          <w:rFonts w:hint="eastAsia"/>
          <w:highlight w:val="none"/>
        </w:rPr>
      </w:pPr>
    </w:p>
    <w:p>
      <w:pPr>
        <w:pStyle w:val="139"/>
        <w:framePr w:hSpace="0" w:vSpace="0" w:wrap="auto" w:vAnchor="margin" w:hAnchor="text" w:xAlign="left" w:yAlign="inline"/>
        <w:ind w:firstLine="2940" w:firstLineChars="1400"/>
        <w:rPr>
          <w:highlight w:val="none"/>
        </w:rPr>
      </w:pPr>
      <w:r>
        <w:rPr>
          <w:highlight w:val="none"/>
        </w:rPr>
        <w:t>_________________________________</w:t>
      </w:r>
    </w:p>
    <w:p>
      <w:pPr>
        <w:pStyle w:val="148"/>
        <w:spacing w:before="156" w:beforeLines="50" w:after="156" w:afterLines="50" w:line="400" w:lineRule="atLeast"/>
        <w:contextualSpacing/>
        <w:rPr>
          <w:highlight w:val="none"/>
        </w:rPr>
      </w:pPr>
    </w:p>
    <w:p>
      <w:pPr>
        <w:widowControl/>
        <w:spacing w:before="156" w:beforeLines="50"/>
        <w:outlineLvl w:val="9"/>
        <w:rPr>
          <w:szCs w:val="21"/>
        </w:rPr>
      </w:pPr>
    </w:p>
    <w:p>
      <w:pPr>
        <w:widowControl/>
        <w:spacing w:before="156" w:beforeLines="50"/>
        <w:outlineLvl w:val="9"/>
        <w:rPr>
          <w:szCs w:val="21"/>
        </w:rPr>
      </w:pPr>
    </w:p>
    <w:p>
      <w:pPr>
        <w:widowControl/>
        <w:spacing w:before="156" w:beforeLines="50"/>
        <w:outlineLvl w:val="9"/>
        <w:rPr>
          <w:rFonts w:hint="eastAsia"/>
          <w:szCs w:val="21"/>
        </w:rPr>
      </w:pPr>
    </w:p>
    <w:sectPr>
      <w:footerReference r:id="rId5" w:type="default"/>
      <w:pgSz w:w="11906" w:h="16838"/>
      <w:pgMar w:top="567" w:right="1134" w:bottom="1134" w:left="1418" w:header="1418" w:footer="283" w:gutter="0"/>
      <w:pgNumType w:fmt="decimal" w:start="1"/>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Math">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rPr>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posOffset>95250</wp:posOffset>
              </wp:positionH>
              <wp:positionV relativeFrom="paragraph">
                <wp:posOffset>-309245</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7.5pt;margin-top:-24.35pt;height:144pt;width:144pt;mso-position-horizontal-relative:margin;mso-wrap-style:none;z-index:251659264;mso-width-relative:page;mso-height-relative:page;" filled="f" stroked="f" coordsize="21600,21600" o:gfxdata="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ttNP9cAAAAKAQAADwAAAAAAAAABACAAAAAiAAAAZHJzL2Rvd25yZXYueG1s&#10;UEsBAhQAFAAAAAgAh07iQPWLh2QyAgAAYQQAAA4AAAAAAAAAAQAgAAAAJgEAAGRycy9lMm9Eb2Mu&#10;eG1sUEsFBgAAAAAGAAYAWQEAAMoFAAAAAA==&#10;">
              <v:fill on="f" focussize="0,0"/>
              <v:stroke on="f" weight="0.5pt"/>
              <v:imagedata o:title=""/>
              <o:lock v:ext="edit" aspectratio="f"/>
              <v:textbox inset="0mm,0mm,0mm,0mm" style="mso-fit-shape-to-text:t;">
                <w:txbxContent>
                  <w:p>
                    <w:pPr>
                      <w:pStyle w:val="1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rPr>
        <w:rFonts w:hint="eastAsia"/>
      </w:rPr>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-317500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25pt;height:144pt;width:144pt;mso-position-horizontal:outside;mso-position-horizontal-relative:margin;mso-wrap-style:none;z-index:251661312;mso-width-relative:page;mso-height-relative:page;" filled="f" stroked="f" coordsize="21600,21600" o:gfxdata="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CeiaT7TAAAACAEAAA8AAAAAAAAAAQAgAAAAIgAAAGRycy9kb3ducmV2LnhtbFBLAQIU&#10;ABQAAAAIAIdO4kDHl7XOMQIAAGEEAAAOAAAAAAAAAAEAIAAAACIBAABkcnMvZTJvRG9jLnhtbFBL&#10;BQYAAAAABgAGAFkBAADFBQAAAAA=&#10;">
              <v:fill on="f" focussize="0,0"/>
              <v:stroke on="f" weight="0.5pt"/>
              <v:imagedata o:title=""/>
              <o:lock v:ext="edit" aspectratio="f"/>
              <v:textbox inset="0mm,0mm,0mm,0mm" style="mso-fit-shape-to-text:t;">
                <w:txbxContent>
                  <w:p>
                    <w:pPr>
                      <w:pStyle w:val="19"/>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rPr>
        <w:rFonts w:hint="eastAsia"/>
        <w:lang w:val="en-US" w:eastAsia="zh-CN"/>
      </w:rPr>
      <w:t>DB32</w:t>
    </w:r>
    <w:r>
      <w:t>/T XXXXX—XXXX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68"/>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tentative="0">
      <w:start w:val="1"/>
      <w:numFmt w:val="decimal"/>
      <w:pStyle w:val="126"/>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AE367E9"/>
    <w:multiLevelType w:val="multilevel"/>
    <w:tmpl w:val="0AE367E9"/>
    <w:lvl w:ilvl="0" w:tentative="0">
      <w:start w:val="1"/>
      <w:numFmt w:val="none"/>
      <w:pStyle w:val="62"/>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3">
    <w:nsid w:val="0DDE2B46"/>
    <w:multiLevelType w:val="multilevel"/>
    <w:tmpl w:val="0DDE2B46"/>
    <w:lvl w:ilvl="0" w:tentative="0">
      <w:start w:val="1"/>
      <w:numFmt w:val="lowerLetter"/>
      <w:pStyle w:val="131"/>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4">
    <w:nsid w:val="1DBF583A"/>
    <w:multiLevelType w:val="multilevel"/>
    <w:tmpl w:val="1DBF583A"/>
    <w:lvl w:ilvl="0" w:tentative="0">
      <w:start w:val="1"/>
      <w:numFmt w:val="decimal"/>
      <w:pStyle w:val="75"/>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5">
    <w:nsid w:val="1FC91163"/>
    <w:multiLevelType w:val="multilevel"/>
    <w:tmpl w:val="1FC91163"/>
    <w:lvl w:ilvl="0" w:tentative="0">
      <w:start w:val="1"/>
      <w:numFmt w:val="decimal"/>
      <w:pStyle w:val="54"/>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50"/>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55"/>
      <w:suff w:val="nothing"/>
      <w:lvlText w:val="%1.%2.%3　"/>
      <w:lvlJc w:val="left"/>
      <w:pPr>
        <w:ind w:left="0" w:firstLine="0"/>
      </w:pPr>
      <w:rPr>
        <w:rFonts w:hint="default" w:ascii="Times New Roman" w:hAnsi="Times New Roman" w:eastAsia="黑体" w:cs="Times New Roman"/>
        <w:b w:val="0"/>
        <w:i w:val="0"/>
        <w:sz w:val="21"/>
      </w:rPr>
    </w:lvl>
    <w:lvl w:ilvl="3" w:tentative="0">
      <w:start w:val="1"/>
      <w:numFmt w:val="decimal"/>
      <w:pStyle w:val="61"/>
      <w:suff w:val="nothing"/>
      <w:lvlText w:val="%1.%2.%3.%4　"/>
      <w:lvlJc w:val="left"/>
      <w:pPr>
        <w:ind w:left="0" w:firstLine="0"/>
      </w:pPr>
      <w:rPr>
        <w:rFonts w:hint="default" w:ascii="Times New Roman" w:hAnsi="Times New Roman" w:eastAsia="黑体" w:cs="Times New Roman"/>
        <w:b w:val="0"/>
        <w:i w:val="0"/>
        <w:sz w:val="21"/>
      </w:rPr>
    </w:lvl>
    <w:lvl w:ilvl="4" w:tentative="0">
      <w:start w:val="1"/>
      <w:numFmt w:val="decimal"/>
      <w:pStyle w:val="65"/>
      <w:suff w:val="nothing"/>
      <w:lvlText w:val="%1.%2.%3.%4.%5　"/>
      <w:lvlJc w:val="left"/>
      <w:pPr>
        <w:ind w:left="0" w:firstLine="0"/>
      </w:pPr>
      <w:rPr>
        <w:rFonts w:hint="eastAsia" w:ascii="黑体" w:hAnsi="Times New Roman" w:eastAsia="黑体"/>
        <w:b w:val="0"/>
        <w:i w:val="0"/>
        <w:sz w:val="21"/>
      </w:rPr>
    </w:lvl>
    <w:lvl w:ilvl="5" w:tentative="0">
      <w:start w:val="1"/>
      <w:numFmt w:val="decimal"/>
      <w:pStyle w:val="66"/>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2A8F7113"/>
    <w:multiLevelType w:val="multilevel"/>
    <w:tmpl w:val="2A8F7113"/>
    <w:lvl w:ilvl="0" w:tentative="0">
      <w:start w:val="1"/>
      <w:numFmt w:val="upperLetter"/>
      <w:pStyle w:val="108"/>
      <w:suff w:val="space"/>
      <w:lvlText w:val="%1"/>
      <w:lvlJc w:val="left"/>
      <w:pPr>
        <w:ind w:left="623" w:hanging="425"/>
      </w:pPr>
      <w:rPr>
        <w:rFonts w:hint="eastAsia"/>
      </w:rPr>
    </w:lvl>
    <w:lvl w:ilvl="1" w:tentative="0">
      <w:start w:val="1"/>
      <w:numFmt w:val="decimal"/>
      <w:pStyle w:val="109"/>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7">
    <w:nsid w:val="2C5917C3"/>
    <w:multiLevelType w:val="multilevel"/>
    <w:tmpl w:val="2C5917C3"/>
    <w:lvl w:ilvl="0" w:tentative="0">
      <w:start w:val="1"/>
      <w:numFmt w:val="none"/>
      <w:pStyle w:val="58"/>
      <w:suff w:val="nothing"/>
      <w:lvlText w:val="%1——"/>
      <w:lvlJc w:val="left"/>
      <w:pPr>
        <w:ind w:left="833" w:hanging="408"/>
      </w:pPr>
      <w:rPr>
        <w:rFonts w:hint="eastAsia"/>
      </w:rPr>
    </w:lvl>
    <w:lvl w:ilvl="1" w:tentative="0">
      <w:start w:val="1"/>
      <w:numFmt w:val="bullet"/>
      <w:pStyle w:val="59"/>
      <w:lvlText w:val=""/>
      <w:lvlJc w:val="left"/>
      <w:pPr>
        <w:tabs>
          <w:tab w:val="left" w:pos="760"/>
        </w:tabs>
        <w:ind w:left="1264" w:hanging="413"/>
      </w:pPr>
      <w:rPr>
        <w:rFonts w:hint="default" w:ascii="Symbol" w:hAnsi="Symbol"/>
        <w:color w:val="auto"/>
      </w:rPr>
    </w:lvl>
    <w:lvl w:ilvl="2" w:tentative="0">
      <w:start w:val="1"/>
      <w:numFmt w:val="bullet"/>
      <w:pStyle w:val="70"/>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8">
    <w:nsid w:val="3D733618"/>
    <w:multiLevelType w:val="multilevel"/>
    <w:tmpl w:val="3D733618"/>
    <w:lvl w:ilvl="0" w:tentative="0">
      <w:start w:val="1"/>
      <w:numFmt w:val="decimal"/>
      <w:pStyle w:val="26"/>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9">
    <w:nsid w:val="44C50F90"/>
    <w:multiLevelType w:val="multilevel"/>
    <w:tmpl w:val="44C50F90"/>
    <w:lvl w:ilvl="0" w:tentative="0">
      <w:start w:val="1"/>
      <w:numFmt w:val="lowerLetter"/>
      <w:pStyle w:val="69"/>
      <w:lvlText w:val="%1)"/>
      <w:lvlJc w:val="left"/>
      <w:pPr>
        <w:tabs>
          <w:tab w:val="left" w:pos="839"/>
        </w:tabs>
        <w:ind w:left="839" w:hanging="419"/>
      </w:pPr>
      <w:rPr>
        <w:rFonts w:hint="eastAsia" w:ascii="宋体" w:hAnsi="宋体" w:eastAsia="宋体"/>
        <w:b w:val="0"/>
        <w:i w:val="0"/>
        <w:sz w:val="20"/>
        <w:szCs w:val="21"/>
      </w:rPr>
    </w:lvl>
    <w:lvl w:ilvl="1" w:tentative="0">
      <w:start w:val="1"/>
      <w:numFmt w:val="decimal"/>
      <w:pStyle w:val="64"/>
      <w:lvlText w:val="%2)"/>
      <w:lvlJc w:val="left"/>
      <w:pPr>
        <w:tabs>
          <w:tab w:val="left" w:pos="1259"/>
        </w:tabs>
        <w:ind w:left="1259" w:hanging="420"/>
      </w:pPr>
      <w:rPr>
        <w:rFonts w:hint="eastAsia" w:ascii="宋体" w:hAnsi="宋体" w:eastAsia="宋体"/>
        <w:b w:val="0"/>
        <w:i w:val="0"/>
        <w:sz w:val="20"/>
      </w:rPr>
    </w:lvl>
    <w:lvl w:ilvl="2" w:tentative="0">
      <w:start w:val="1"/>
      <w:numFmt w:val="decimal"/>
      <w:pStyle w:val="71"/>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rPr>
    </w:lvl>
    <w:lvl w:ilvl="4" w:tentative="0">
      <w:start w:val="1"/>
      <w:numFmt w:val="lowerLetter"/>
      <w:lvlText w:val="%5)"/>
      <w:lvlJc w:val="left"/>
      <w:pPr>
        <w:tabs>
          <w:tab w:val="left" w:pos="2517"/>
        </w:tabs>
        <w:ind w:left="2517" w:hanging="419"/>
      </w:pPr>
      <w:rPr>
        <w:rFonts w:hint="eastAsia"/>
      </w:rPr>
    </w:lvl>
    <w:lvl w:ilvl="5" w:tentative="0">
      <w:start w:val="1"/>
      <w:numFmt w:val="lowerRoman"/>
      <w:lvlText w:val="%6."/>
      <w:lvlJc w:val="right"/>
      <w:pPr>
        <w:tabs>
          <w:tab w:val="left" w:pos="2942"/>
        </w:tabs>
        <w:ind w:left="2937" w:hanging="420"/>
      </w:pPr>
      <w:rPr>
        <w:rFonts w:hint="eastAsia"/>
      </w:rPr>
    </w:lvl>
    <w:lvl w:ilvl="6" w:tentative="0">
      <w:start w:val="1"/>
      <w:numFmt w:val="decimal"/>
      <w:lvlText w:val="%7."/>
      <w:lvlJc w:val="left"/>
      <w:pPr>
        <w:tabs>
          <w:tab w:val="left" w:pos="3362"/>
        </w:tabs>
        <w:ind w:left="3356" w:hanging="414"/>
      </w:pPr>
      <w:rPr>
        <w:rFonts w:hint="eastAsia"/>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10">
    <w:nsid w:val="4B733A5F"/>
    <w:multiLevelType w:val="multilevel"/>
    <w:tmpl w:val="4B733A5F"/>
    <w:lvl w:ilvl="0" w:tentative="0">
      <w:start w:val="1"/>
      <w:numFmt w:val="decimal"/>
      <w:pStyle w:val="72"/>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1">
    <w:nsid w:val="557C2AF5"/>
    <w:multiLevelType w:val="multilevel"/>
    <w:tmpl w:val="557C2AF5"/>
    <w:lvl w:ilvl="0" w:tentative="0">
      <w:start w:val="1"/>
      <w:numFmt w:val="decimal"/>
      <w:pStyle w:val="138"/>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60B55DC2"/>
    <w:multiLevelType w:val="multilevel"/>
    <w:tmpl w:val="60B55DC2"/>
    <w:lvl w:ilvl="0" w:tentative="0">
      <w:start w:val="1"/>
      <w:numFmt w:val="upperLetter"/>
      <w:pStyle w:val="96"/>
      <w:lvlText w:val="%1"/>
      <w:lvlJc w:val="left"/>
      <w:pPr>
        <w:tabs>
          <w:tab w:val="left" w:pos="0"/>
        </w:tabs>
        <w:ind w:left="0" w:hanging="425"/>
      </w:pPr>
      <w:rPr>
        <w:rFonts w:hint="eastAsia"/>
      </w:rPr>
    </w:lvl>
    <w:lvl w:ilvl="1" w:tentative="0">
      <w:start w:val="1"/>
      <w:numFmt w:val="decimal"/>
      <w:pStyle w:val="97"/>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3">
    <w:nsid w:val="646260FA"/>
    <w:multiLevelType w:val="multilevel"/>
    <w:tmpl w:val="646260FA"/>
    <w:lvl w:ilvl="0" w:tentative="0">
      <w:start w:val="1"/>
      <w:numFmt w:val="decimal"/>
      <w:pStyle w:val="136"/>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4">
    <w:nsid w:val="657D3FBC"/>
    <w:multiLevelType w:val="multilevel"/>
    <w:tmpl w:val="657D3FBC"/>
    <w:lvl w:ilvl="0" w:tentative="0">
      <w:start w:val="1"/>
      <w:numFmt w:val="upperLetter"/>
      <w:pStyle w:val="94"/>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12"/>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13"/>
      <w:suff w:val="nothing"/>
      <w:lvlText w:val="%1.%2.%3　"/>
      <w:lvlJc w:val="left"/>
      <w:pPr>
        <w:ind w:left="0" w:firstLine="0"/>
      </w:pPr>
      <w:rPr>
        <w:rFonts w:hint="eastAsia" w:ascii="黑体" w:hAnsi="Times New Roman" w:eastAsia="黑体"/>
        <w:b w:val="0"/>
        <w:i w:val="0"/>
        <w:sz w:val="21"/>
      </w:rPr>
    </w:lvl>
    <w:lvl w:ilvl="3" w:tentative="0">
      <w:start w:val="1"/>
      <w:numFmt w:val="decimal"/>
      <w:pStyle w:val="98"/>
      <w:suff w:val="nothing"/>
      <w:lvlText w:val="%1.%2.%3.%4　"/>
      <w:lvlJc w:val="left"/>
      <w:pPr>
        <w:ind w:left="0" w:firstLine="0"/>
      </w:pPr>
      <w:rPr>
        <w:rFonts w:hint="eastAsia" w:ascii="黑体" w:hAnsi="Times New Roman" w:eastAsia="黑体"/>
        <w:b w:val="0"/>
        <w:i w:val="0"/>
        <w:sz w:val="21"/>
      </w:rPr>
    </w:lvl>
    <w:lvl w:ilvl="4" w:tentative="0">
      <w:start w:val="1"/>
      <w:numFmt w:val="decimal"/>
      <w:pStyle w:val="103"/>
      <w:suff w:val="nothing"/>
      <w:lvlText w:val="%1.%2.%3.%4.%5　"/>
      <w:lvlJc w:val="left"/>
      <w:pPr>
        <w:ind w:left="0" w:firstLine="0"/>
      </w:pPr>
      <w:rPr>
        <w:rFonts w:hint="eastAsia" w:ascii="黑体" w:hAnsi="Times New Roman" w:eastAsia="黑体"/>
        <w:b w:val="0"/>
        <w:i w:val="0"/>
        <w:sz w:val="21"/>
      </w:rPr>
    </w:lvl>
    <w:lvl w:ilvl="5" w:tentative="0">
      <w:start w:val="1"/>
      <w:numFmt w:val="decimal"/>
      <w:pStyle w:val="106"/>
      <w:suff w:val="nothing"/>
      <w:lvlText w:val="%1.%2.%3.%4.%5.%6　"/>
      <w:lvlJc w:val="left"/>
      <w:pPr>
        <w:ind w:left="0" w:firstLine="0"/>
      </w:pPr>
      <w:rPr>
        <w:rFonts w:hint="eastAsia" w:ascii="黑体" w:hAnsi="Times New Roman" w:eastAsia="黑体"/>
        <w:b w:val="0"/>
        <w:i w:val="0"/>
        <w:sz w:val="21"/>
      </w:rPr>
    </w:lvl>
    <w:lvl w:ilvl="6" w:tentative="0">
      <w:start w:val="1"/>
      <w:numFmt w:val="decimal"/>
      <w:pStyle w:val="110"/>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5">
    <w:nsid w:val="6D6C07CD"/>
    <w:multiLevelType w:val="multilevel"/>
    <w:tmpl w:val="6D6C07CD"/>
    <w:lvl w:ilvl="0" w:tentative="0">
      <w:start w:val="1"/>
      <w:numFmt w:val="lowerLetter"/>
      <w:pStyle w:val="115"/>
      <w:lvlText w:val="%1)"/>
      <w:lvlJc w:val="left"/>
      <w:pPr>
        <w:tabs>
          <w:tab w:val="left" w:pos="839"/>
        </w:tabs>
        <w:ind w:left="839" w:hanging="419"/>
      </w:pPr>
      <w:rPr>
        <w:rFonts w:hint="eastAsia" w:ascii="宋体" w:eastAsia="宋体"/>
        <w:b w:val="0"/>
        <w:i w:val="0"/>
        <w:sz w:val="21"/>
      </w:rPr>
    </w:lvl>
    <w:lvl w:ilvl="1" w:tentative="0">
      <w:start w:val="1"/>
      <w:numFmt w:val="decimal"/>
      <w:pStyle w:val="105"/>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6">
    <w:nsid w:val="6DBF04F4"/>
    <w:multiLevelType w:val="multilevel"/>
    <w:tmpl w:val="6DBF04F4"/>
    <w:lvl w:ilvl="0" w:tentative="0">
      <w:start w:val="1"/>
      <w:numFmt w:val="none"/>
      <w:pStyle w:val="67"/>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8"/>
  </w:num>
  <w:num w:numId="2">
    <w:abstractNumId w:val="5"/>
  </w:num>
  <w:num w:numId="3">
    <w:abstractNumId w:val="7"/>
  </w:num>
  <w:num w:numId="4">
    <w:abstractNumId w:val="2"/>
  </w:num>
  <w:num w:numId="5">
    <w:abstractNumId w:val="9"/>
  </w:num>
  <w:num w:numId="6">
    <w:abstractNumId w:val="16"/>
  </w:num>
  <w:num w:numId="7">
    <w:abstractNumId w:val="0"/>
  </w:num>
  <w:num w:numId="8">
    <w:abstractNumId w:val="10"/>
  </w:num>
  <w:num w:numId="9">
    <w:abstractNumId w:val="4"/>
  </w:num>
  <w:num w:numId="10">
    <w:abstractNumId w:val="14"/>
  </w:num>
  <w:num w:numId="11">
    <w:abstractNumId w:val="12"/>
  </w:num>
  <w:num w:numId="12">
    <w:abstractNumId w:val="15"/>
  </w:num>
  <w:num w:numId="13">
    <w:abstractNumId w:val="6"/>
  </w:num>
  <w:num w:numId="14">
    <w:abstractNumId w:val="1"/>
  </w:num>
  <w:num w:numId="15">
    <w:abstractNumId w:val="3"/>
  </w:num>
  <w:num w:numId="16">
    <w:abstractNumId w:val="1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Y1NzdlNjY5YTRkYTAxZTIyZTRhNWU4NDJjNmU3YWIifQ=="/>
  </w:docVars>
  <w:rsids>
    <w:rsidRoot w:val="00035925"/>
    <w:rsid w:val="00000244"/>
    <w:rsid w:val="00000867"/>
    <w:rsid w:val="00000A30"/>
    <w:rsid w:val="0000185F"/>
    <w:rsid w:val="0000586F"/>
    <w:rsid w:val="000118D8"/>
    <w:rsid w:val="00011F6E"/>
    <w:rsid w:val="00013D86"/>
    <w:rsid w:val="00013E02"/>
    <w:rsid w:val="00016602"/>
    <w:rsid w:val="00016DA8"/>
    <w:rsid w:val="000171CD"/>
    <w:rsid w:val="0002143C"/>
    <w:rsid w:val="00022EEC"/>
    <w:rsid w:val="00025734"/>
    <w:rsid w:val="000257CA"/>
    <w:rsid w:val="00025A65"/>
    <w:rsid w:val="0002633E"/>
    <w:rsid w:val="00026C31"/>
    <w:rsid w:val="00027280"/>
    <w:rsid w:val="00030530"/>
    <w:rsid w:val="00031D28"/>
    <w:rsid w:val="00031F28"/>
    <w:rsid w:val="000320A7"/>
    <w:rsid w:val="00032A74"/>
    <w:rsid w:val="00033573"/>
    <w:rsid w:val="00033B7D"/>
    <w:rsid w:val="00035925"/>
    <w:rsid w:val="00037106"/>
    <w:rsid w:val="000401A3"/>
    <w:rsid w:val="000436C4"/>
    <w:rsid w:val="000455BA"/>
    <w:rsid w:val="000456E1"/>
    <w:rsid w:val="0004649E"/>
    <w:rsid w:val="00046768"/>
    <w:rsid w:val="0004688F"/>
    <w:rsid w:val="00047225"/>
    <w:rsid w:val="00047381"/>
    <w:rsid w:val="00054AD0"/>
    <w:rsid w:val="00055DDD"/>
    <w:rsid w:val="00057B62"/>
    <w:rsid w:val="00061C07"/>
    <w:rsid w:val="00062F6F"/>
    <w:rsid w:val="0006552B"/>
    <w:rsid w:val="000670A1"/>
    <w:rsid w:val="00067CDF"/>
    <w:rsid w:val="00071DB9"/>
    <w:rsid w:val="00071DF5"/>
    <w:rsid w:val="00074FBE"/>
    <w:rsid w:val="00081079"/>
    <w:rsid w:val="00082184"/>
    <w:rsid w:val="000823C5"/>
    <w:rsid w:val="0008354F"/>
    <w:rsid w:val="00083A09"/>
    <w:rsid w:val="0008430B"/>
    <w:rsid w:val="00084CA0"/>
    <w:rsid w:val="0008756D"/>
    <w:rsid w:val="00087F99"/>
    <w:rsid w:val="0009005E"/>
    <w:rsid w:val="000915DB"/>
    <w:rsid w:val="00092857"/>
    <w:rsid w:val="00095712"/>
    <w:rsid w:val="0009576A"/>
    <w:rsid w:val="000972F5"/>
    <w:rsid w:val="0009743B"/>
    <w:rsid w:val="00097829"/>
    <w:rsid w:val="000A09BA"/>
    <w:rsid w:val="000A09D3"/>
    <w:rsid w:val="000A12A2"/>
    <w:rsid w:val="000A1C7D"/>
    <w:rsid w:val="000A20A9"/>
    <w:rsid w:val="000A2D7B"/>
    <w:rsid w:val="000A48B1"/>
    <w:rsid w:val="000A4E7A"/>
    <w:rsid w:val="000A5876"/>
    <w:rsid w:val="000A7357"/>
    <w:rsid w:val="000B1432"/>
    <w:rsid w:val="000B2FE4"/>
    <w:rsid w:val="000B3143"/>
    <w:rsid w:val="000B36F4"/>
    <w:rsid w:val="000B4BB7"/>
    <w:rsid w:val="000B5AD8"/>
    <w:rsid w:val="000C12C5"/>
    <w:rsid w:val="000C1C9D"/>
    <w:rsid w:val="000C307A"/>
    <w:rsid w:val="000C3508"/>
    <w:rsid w:val="000C3E08"/>
    <w:rsid w:val="000C4263"/>
    <w:rsid w:val="000C6B05"/>
    <w:rsid w:val="000C6DD6"/>
    <w:rsid w:val="000C701E"/>
    <w:rsid w:val="000C73D4"/>
    <w:rsid w:val="000C7476"/>
    <w:rsid w:val="000D348C"/>
    <w:rsid w:val="000D3D4C"/>
    <w:rsid w:val="000D4683"/>
    <w:rsid w:val="000D4F51"/>
    <w:rsid w:val="000D5C17"/>
    <w:rsid w:val="000D5FEA"/>
    <w:rsid w:val="000D6504"/>
    <w:rsid w:val="000D718B"/>
    <w:rsid w:val="000E0C46"/>
    <w:rsid w:val="000E1021"/>
    <w:rsid w:val="000E6CE8"/>
    <w:rsid w:val="000E7B2C"/>
    <w:rsid w:val="000E7BB1"/>
    <w:rsid w:val="000F030C"/>
    <w:rsid w:val="000F129C"/>
    <w:rsid w:val="000F1661"/>
    <w:rsid w:val="000F240E"/>
    <w:rsid w:val="000F2556"/>
    <w:rsid w:val="000F574F"/>
    <w:rsid w:val="00100A98"/>
    <w:rsid w:val="00100BD1"/>
    <w:rsid w:val="00102771"/>
    <w:rsid w:val="00104155"/>
    <w:rsid w:val="00104619"/>
    <w:rsid w:val="00104A04"/>
    <w:rsid w:val="00105428"/>
    <w:rsid w:val="001056DE"/>
    <w:rsid w:val="00106CB3"/>
    <w:rsid w:val="001124C0"/>
    <w:rsid w:val="00112CE2"/>
    <w:rsid w:val="001133AA"/>
    <w:rsid w:val="00113AF2"/>
    <w:rsid w:val="00114C7D"/>
    <w:rsid w:val="00115F72"/>
    <w:rsid w:val="001215D2"/>
    <w:rsid w:val="00125A48"/>
    <w:rsid w:val="0012720B"/>
    <w:rsid w:val="00127E62"/>
    <w:rsid w:val="00130EDF"/>
    <w:rsid w:val="001313E2"/>
    <w:rsid w:val="0013175F"/>
    <w:rsid w:val="00132FD9"/>
    <w:rsid w:val="001330B4"/>
    <w:rsid w:val="00134235"/>
    <w:rsid w:val="00134551"/>
    <w:rsid w:val="0013480C"/>
    <w:rsid w:val="00134959"/>
    <w:rsid w:val="001362A5"/>
    <w:rsid w:val="001364A8"/>
    <w:rsid w:val="0013690F"/>
    <w:rsid w:val="00136EF0"/>
    <w:rsid w:val="00137A12"/>
    <w:rsid w:val="00140930"/>
    <w:rsid w:val="00141A42"/>
    <w:rsid w:val="00143E28"/>
    <w:rsid w:val="00144312"/>
    <w:rsid w:val="001446E7"/>
    <w:rsid w:val="00145BBC"/>
    <w:rsid w:val="001473C4"/>
    <w:rsid w:val="0014795B"/>
    <w:rsid w:val="00147B00"/>
    <w:rsid w:val="00150088"/>
    <w:rsid w:val="001512B4"/>
    <w:rsid w:val="00153827"/>
    <w:rsid w:val="00154A3A"/>
    <w:rsid w:val="0015508E"/>
    <w:rsid w:val="001620A5"/>
    <w:rsid w:val="00162FEE"/>
    <w:rsid w:val="00164197"/>
    <w:rsid w:val="00164E53"/>
    <w:rsid w:val="001656FF"/>
    <w:rsid w:val="0016699D"/>
    <w:rsid w:val="00167AF9"/>
    <w:rsid w:val="00171E9A"/>
    <w:rsid w:val="0017295B"/>
    <w:rsid w:val="00175159"/>
    <w:rsid w:val="00176208"/>
    <w:rsid w:val="001768D4"/>
    <w:rsid w:val="001803CB"/>
    <w:rsid w:val="00181456"/>
    <w:rsid w:val="0018186B"/>
    <w:rsid w:val="0018211B"/>
    <w:rsid w:val="00183074"/>
    <w:rsid w:val="001830AE"/>
    <w:rsid w:val="00183B5E"/>
    <w:rsid w:val="00183C3B"/>
    <w:rsid w:val="001840D3"/>
    <w:rsid w:val="00186684"/>
    <w:rsid w:val="00187D89"/>
    <w:rsid w:val="001900F8"/>
    <w:rsid w:val="00190471"/>
    <w:rsid w:val="001904CE"/>
    <w:rsid w:val="00191258"/>
    <w:rsid w:val="00191E8C"/>
    <w:rsid w:val="00192680"/>
    <w:rsid w:val="00192BF5"/>
    <w:rsid w:val="00193037"/>
    <w:rsid w:val="00193A2C"/>
    <w:rsid w:val="001952FD"/>
    <w:rsid w:val="00195B45"/>
    <w:rsid w:val="00197F0A"/>
    <w:rsid w:val="001A1AFF"/>
    <w:rsid w:val="001A288E"/>
    <w:rsid w:val="001A48F7"/>
    <w:rsid w:val="001A5B29"/>
    <w:rsid w:val="001B02C1"/>
    <w:rsid w:val="001B04E8"/>
    <w:rsid w:val="001B2A42"/>
    <w:rsid w:val="001B3B5D"/>
    <w:rsid w:val="001B40BD"/>
    <w:rsid w:val="001B6DC2"/>
    <w:rsid w:val="001C149C"/>
    <w:rsid w:val="001C21AC"/>
    <w:rsid w:val="001C47BA"/>
    <w:rsid w:val="001C5888"/>
    <w:rsid w:val="001C59EA"/>
    <w:rsid w:val="001C5A48"/>
    <w:rsid w:val="001C79BF"/>
    <w:rsid w:val="001C7FCB"/>
    <w:rsid w:val="001D0D10"/>
    <w:rsid w:val="001D1028"/>
    <w:rsid w:val="001D1C24"/>
    <w:rsid w:val="001D3349"/>
    <w:rsid w:val="001D3A4A"/>
    <w:rsid w:val="001D406C"/>
    <w:rsid w:val="001D41EE"/>
    <w:rsid w:val="001D5780"/>
    <w:rsid w:val="001E0380"/>
    <w:rsid w:val="001E0577"/>
    <w:rsid w:val="001E13B1"/>
    <w:rsid w:val="001E7EC3"/>
    <w:rsid w:val="001F1928"/>
    <w:rsid w:val="001F1C42"/>
    <w:rsid w:val="001F3588"/>
    <w:rsid w:val="001F3A19"/>
    <w:rsid w:val="001F52DC"/>
    <w:rsid w:val="001F6E40"/>
    <w:rsid w:val="001F7121"/>
    <w:rsid w:val="00200025"/>
    <w:rsid w:val="002002EB"/>
    <w:rsid w:val="00203B78"/>
    <w:rsid w:val="002043A4"/>
    <w:rsid w:val="002077CD"/>
    <w:rsid w:val="00217ADD"/>
    <w:rsid w:val="00220B6F"/>
    <w:rsid w:val="00223611"/>
    <w:rsid w:val="002240F8"/>
    <w:rsid w:val="00225461"/>
    <w:rsid w:val="0022628D"/>
    <w:rsid w:val="00226FBF"/>
    <w:rsid w:val="0023121E"/>
    <w:rsid w:val="00232595"/>
    <w:rsid w:val="0023421E"/>
    <w:rsid w:val="00234467"/>
    <w:rsid w:val="00234529"/>
    <w:rsid w:val="00234D0F"/>
    <w:rsid w:val="00235678"/>
    <w:rsid w:val="002357BC"/>
    <w:rsid w:val="002358B1"/>
    <w:rsid w:val="00237C5F"/>
    <w:rsid w:val="00237D8D"/>
    <w:rsid w:val="00241452"/>
    <w:rsid w:val="00241DA2"/>
    <w:rsid w:val="00242103"/>
    <w:rsid w:val="0024298E"/>
    <w:rsid w:val="00243B92"/>
    <w:rsid w:val="00244922"/>
    <w:rsid w:val="0024710F"/>
    <w:rsid w:val="00247DAC"/>
    <w:rsid w:val="00247FEE"/>
    <w:rsid w:val="00250E7D"/>
    <w:rsid w:val="00253DF0"/>
    <w:rsid w:val="00254A59"/>
    <w:rsid w:val="002562DF"/>
    <w:rsid w:val="002565D5"/>
    <w:rsid w:val="002577FF"/>
    <w:rsid w:val="002622C0"/>
    <w:rsid w:val="002648BC"/>
    <w:rsid w:val="002679EF"/>
    <w:rsid w:val="0027039A"/>
    <w:rsid w:val="00272255"/>
    <w:rsid w:val="00272FA6"/>
    <w:rsid w:val="00275EA4"/>
    <w:rsid w:val="0027665C"/>
    <w:rsid w:val="00277046"/>
    <w:rsid w:val="002778AE"/>
    <w:rsid w:val="00280941"/>
    <w:rsid w:val="00281AD0"/>
    <w:rsid w:val="002822C2"/>
    <w:rsid w:val="00282406"/>
    <w:rsid w:val="0028269A"/>
    <w:rsid w:val="00282F6F"/>
    <w:rsid w:val="00283590"/>
    <w:rsid w:val="002837A9"/>
    <w:rsid w:val="00284981"/>
    <w:rsid w:val="002866E5"/>
    <w:rsid w:val="00286973"/>
    <w:rsid w:val="00286E54"/>
    <w:rsid w:val="00291E00"/>
    <w:rsid w:val="00294700"/>
    <w:rsid w:val="00294E70"/>
    <w:rsid w:val="00296480"/>
    <w:rsid w:val="002A1924"/>
    <w:rsid w:val="002A370B"/>
    <w:rsid w:val="002A3F73"/>
    <w:rsid w:val="002A7420"/>
    <w:rsid w:val="002A789D"/>
    <w:rsid w:val="002B0F12"/>
    <w:rsid w:val="002B1308"/>
    <w:rsid w:val="002B1F63"/>
    <w:rsid w:val="002B4554"/>
    <w:rsid w:val="002B6D4B"/>
    <w:rsid w:val="002B7056"/>
    <w:rsid w:val="002B7E6A"/>
    <w:rsid w:val="002C11E4"/>
    <w:rsid w:val="002C16EA"/>
    <w:rsid w:val="002C33BC"/>
    <w:rsid w:val="002C72D8"/>
    <w:rsid w:val="002D11FA"/>
    <w:rsid w:val="002D4091"/>
    <w:rsid w:val="002D447A"/>
    <w:rsid w:val="002D4959"/>
    <w:rsid w:val="002D5557"/>
    <w:rsid w:val="002D6E4A"/>
    <w:rsid w:val="002E0DDF"/>
    <w:rsid w:val="002E11E4"/>
    <w:rsid w:val="002E2906"/>
    <w:rsid w:val="002E5635"/>
    <w:rsid w:val="002E5689"/>
    <w:rsid w:val="002E5793"/>
    <w:rsid w:val="002E64C3"/>
    <w:rsid w:val="002E6A2C"/>
    <w:rsid w:val="002E7267"/>
    <w:rsid w:val="002F0E56"/>
    <w:rsid w:val="002F11DC"/>
    <w:rsid w:val="002F1D8C"/>
    <w:rsid w:val="002F1DBD"/>
    <w:rsid w:val="002F21DA"/>
    <w:rsid w:val="002F2467"/>
    <w:rsid w:val="002F5FBF"/>
    <w:rsid w:val="002F603A"/>
    <w:rsid w:val="002F6818"/>
    <w:rsid w:val="002F6C9C"/>
    <w:rsid w:val="002F6EAE"/>
    <w:rsid w:val="003008BF"/>
    <w:rsid w:val="00301308"/>
    <w:rsid w:val="00301F39"/>
    <w:rsid w:val="003030DD"/>
    <w:rsid w:val="0030564B"/>
    <w:rsid w:val="0030630B"/>
    <w:rsid w:val="00306CB1"/>
    <w:rsid w:val="00307730"/>
    <w:rsid w:val="003100EC"/>
    <w:rsid w:val="003114EF"/>
    <w:rsid w:val="00314673"/>
    <w:rsid w:val="003146B1"/>
    <w:rsid w:val="00314F70"/>
    <w:rsid w:val="00314FD0"/>
    <w:rsid w:val="003160C1"/>
    <w:rsid w:val="00316CD8"/>
    <w:rsid w:val="00320B4B"/>
    <w:rsid w:val="00320F0C"/>
    <w:rsid w:val="0032117B"/>
    <w:rsid w:val="00321749"/>
    <w:rsid w:val="00325926"/>
    <w:rsid w:val="00325E78"/>
    <w:rsid w:val="0032600C"/>
    <w:rsid w:val="00327A8A"/>
    <w:rsid w:val="003324DB"/>
    <w:rsid w:val="0033287F"/>
    <w:rsid w:val="0033432B"/>
    <w:rsid w:val="0033503C"/>
    <w:rsid w:val="003357B9"/>
    <w:rsid w:val="00336610"/>
    <w:rsid w:val="003405D8"/>
    <w:rsid w:val="003436B5"/>
    <w:rsid w:val="00343F73"/>
    <w:rsid w:val="00345060"/>
    <w:rsid w:val="00346163"/>
    <w:rsid w:val="00346993"/>
    <w:rsid w:val="00347815"/>
    <w:rsid w:val="00352BC5"/>
    <w:rsid w:val="00353005"/>
    <w:rsid w:val="0035323B"/>
    <w:rsid w:val="00354253"/>
    <w:rsid w:val="00355696"/>
    <w:rsid w:val="00355F55"/>
    <w:rsid w:val="00360991"/>
    <w:rsid w:val="003609D2"/>
    <w:rsid w:val="003628F8"/>
    <w:rsid w:val="00363F22"/>
    <w:rsid w:val="003649CC"/>
    <w:rsid w:val="00365A86"/>
    <w:rsid w:val="00367B31"/>
    <w:rsid w:val="00367CCD"/>
    <w:rsid w:val="003700D5"/>
    <w:rsid w:val="0037018F"/>
    <w:rsid w:val="003714F3"/>
    <w:rsid w:val="0037180C"/>
    <w:rsid w:val="00372279"/>
    <w:rsid w:val="00374073"/>
    <w:rsid w:val="00374136"/>
    <w:rsid w:val="00375355"/>
    <w:rsid w:val="00375564"/>
    <w:rsid w:val="0037706E"/>
    <w:rsid w:val="003772B8"/>
    <w:rsid w:val="0038034E"/>
    <w:rsid w:val="00382AE2"/>
    <w:rsid w:val="00383191"/>
    <w:rsid w:val="00383837"/>
    <w:rsid w:val="003842AB"/>
    <w:rsid w:val="0038501A"/>
    <w:rsid w:val="003863C9"/>
    <w:rsid w:val="00386DED"/>
    <w:rsid w:val="00386FAE"/>
    <w:rsid w:val="003912E7"/>
    <w:rsid w:val="00393947"/>
    <w:rsid w:val="00394942"/>
    <w:rsid w:val="00395403"/>
    <w:rsid w:val="003957C4"/>
    <w:rsid w:val="00396621"/>
    <w:rsid w:val="003A2275"/>
    <w:rsid w:val="003A2FB1"/>
    <w:rsid w:val="003A3D0C"/>
    <w:rsid w:val="003A438F"/>
    <w:rsid w:val="003A6A4F"/>
    <w:rsid w:val="003A7088"/>
    <w:rsid w:val="003B00DF"/>
    <w:rsid w:val="003B1275"/>
    <w:rsid w:val="003B1778"/>
    <w:rsid w:val="003B1823"/>
    <w:rsid w:val="003B75D4"/>
    <w:rsid w:val="003B7CF3"/>
    <w:rsid w:val="003C11CB"/>
    <w:rsid w:val="003C1336"/>
    <w:rsid w:val="003C2A02"/>
    <w:rsid w:val="003C2BC3"/>
    <w:rsid w:val="003C3C52"/>
    <w:rsid w:val="003C3E88"/>
    <w:rsid w:val="003C5AE6"/>
    <w:rsid w:val="003C5FBF"/>
    <w:rsid w:val="003C6336"/>
    <w:rsid w:val="003C70CF"/>
    <w:rsid w:val="003C75F3"/>
    <w:rsid w:val="003C78A3"/>
    <w:rsid w:val="003D1E0B"/>
    <w:rsid w:val="003D22DF"/>
    <w:rsid w:val="003D2DD1"/>
    <w:rsid w:val="003D3FFA"/>
    <w:rsid w:val="003D43CF"/>
    <w:rsid w:val="003D47DB"/>
    <w:rsid w:val="003D5640"/>
    <w:rsid w:val="003D74D0"/>
    <w:rsid w:val="003E1867"/>
    <w:rsid w:val="003E33D2"/>
    <w:rsid w:val="003E3EB8"/>
    <w:rsid w:val="003E5729"/>
    <w:rsid w:val="003E592E"/>
    <w:rsid w:val="003E64DE"/>
    <w:rsid w:val="003F008D"/>
    <w:rsid w:val="003F2FA8"/>
    <w:rsid w:val="003F3D90"/>
    <w:rsid w:val="003F4EE0"/>
    <w:rsid w:val="003F687E"/>
    <w:rsid w:val="003F6DA3"/>
    <w:rsid w:val="00402153"/>
    <w:rsid w:val="00402F02"/>
    <w:rsid w:val="00402FC1"/>
    <w:rsid w:val="004036F9"/>
    <w:rsid w:val="0040378A"/>
    <w:rsid w:val="00407BE5"/>
    <w:rsid w:val="00407E80"/>
    <w:rsid w:val="00410746"/>
    <w:rsid w:val="0041096F"/>
    <w:rsid w:val="00411860"/>
    <w:rsid w:val="0041208B"/>
    <w:rsid w:val="0041227C"/>
    <w:rsid w:val="004122A1"/>
    <w:rsid w:val="00414472"/>
    <w:rsid w:val="00415B63"/>
    <w:rsid w:val="0041676E"/>
    <w:rsid w:val="004173B7"/>
    <w:rsid w:val="00422BCC"/>
    <w:rsid w:val="00425082"/>
    <w:rsid w:val="00425CD9"/>
    <w:rsid w:val="004260DA"/>
    <w:rsid w:val="00431DEB"/>
    <w:rsid w:val="004341EB"/>
    <w:rsid w:val="004366A8"/>
    <w:rsid w:val="004369BB"/>
    <w:rsid w:val="00436BE2"/>
    <w:rsid w:val="00437976"/>
    <w:rsid w:val="004409AB"/>
    <w:rsid w:val="004429DD"/>
    <w:rsid w:val="00442F0C"/>
    <w:rsid w:val="00442FCB"/>
    <w:rsid w:val="00443C4B"/>
    <w:rsid w:val="00444704"/>
    <w:rsid w:val="00446B29"/>
    <w:rsid w:val="004501C3"/>
    <w:rsid w:val="004502C7"/>
    <w:rsid w:val="0045393C"/>
    <w:rsid w:val="00453F9A"/>
    <w:rsid w:val="004543B7"/>
    <w:rsid w:val="00454832"/>
    <w:rsid w:val="004558DA"/>
    <w:rsid w:val="0046018E"/>
    <w:rsid w:val="00460DF8"/>
    <w:rsid w:val="004621EB"/>
    <w:rsid w:val="00462373"/>
    <w:rsid w:val="00466383"/>
    <w:rsid w:val="00470A7E"/>
    <w:rsid w:val="00471E91"/>
    <w:rsid w:val="00474675"/>
    <w:rsid w:val="0047470C"/>
    <w:rsid w:val="0047476B"/>
    <w:rsid w:val="004747B6"/>
    <w:rsid w:val="00476A9F"/>
    <w:rsid w:val="00477000"/>
    <w:rsid w:val="004774D6"/>
    <w:rsid w:val="004779FF"/>
    <w:rsid w:val="0048009E"/>
    <w:rsid w:val="00480572"/>
    <w:rsid w:val="00481328"/>
    <w:rsid w:val="00483627"/>
    <w:rsid w:val="00483C33"/>
    <w:rsid w:val="00483EFD"/>
    <w:rsid w:val="00485FB6"/>
    <w:rsid w:val="004873BD"/>
    <w:rsid w:val="004879B4"/>
    <w:rsid w:val="00487B7C"/>
    <w:rsid w:val="00487D50"/>
    <w:rsid w:val="00490489"/>
    <w:rsid w:val="00492216"/>
    <w:rsid w:val="0049731A"/>
    <w:rsid w:val="00497D71"/>
    <w:rsid w:val="004A1483"/>
    <w:rsid w:val="004A19FE"/>
    <w:rsid w:val="004A1A34"/>
    <w:rsid w:val="004A1EA7"/>
    <w:rsid w:val="004A1F66"/>
    <w:rsid w:val="004A35F9"/>
    <w:rsid w:val="004A3FA7"/>
    <w:rsid w:val="004A474D"/>
    <w:rsid w:val="004A522F"/>
    <w:rsid w:val="004A5BD2"/>
    <w:rsid w:val="004A6F39"/>
    <w:rsid w:val="004B24C1"/>
    <w:rsid w:val="004B2F87"/>
    <w:rsid w:val="004B32F1"/>
    <w:rsid w:val="004B3AA6"/>
    <w:rsid w:val="004B468C"/>
    <w:rsid w:val="004B4C9A"/>
    <w:rsid w:val="004B6401"/>
    <w:rsid w:val="004B6927"/>
    <w:rsid w:val="004C07CB"/>
    <w:rsid w:val="004C07E0"/>
    <w:rsid w:val="004C17E8"/>
    <w:rsid w:val="004C292F"/>
    <w:rsid w:val="004C4802"/>
    <w:rsid w:val="004C6C99"/>
    <w:rsid w:val="004D065E"/>
    <w:rsid w:val="004D10A6"/>
    <w:rsid w:val="004D3B8D"/>
    <w:rsid w:val="004D4088"/>
    <w:rsid w:val="004D6AFC"/>
    <w:rsid w:val="004E3250"/>
    <w:rsid w:val="004E33DF"/>
    <w:rsid w:val="004E3EEE"/>
    <w:rsid w:val="004E4481"/>
    <w:rsid w:val="004E496C"/>
    <w:rsid w:val="004E6374"/>
    <w:rsid w:val="004E7C23"/>
    <w:rsid w:val="004E7FFE"/>
    <w:rsid w:val="004F4331"/>
    <w:rsid w:val="004F49E3"/>
    <w:rsid w:val="004F4A56"/>
    <w:rsid w:val="004F76AE"/>
    <w:rsid w:val="004F7B4D"/>
    <w:rsid w:val="004F7F5B"/>
    <w:rsid w:val="005016F3"/>
    <w:rsid w:val="00503137"/>
    <w:rsid w:val="00504BDB"/>
    <w:rsid w:val="005059A8"/>
    <w:rsid w:val="0050717F"/>
    <w:rsid w:val="00510280"/>
    <w:rsid w:val="00513D73"/>
    <w:rsid w:val="00514A43"/>
    <w:rsid w:val="00514B49"/>
    <w:rsid w:val="00515330"/>
    <w:rsid w:val="0051706D"/>
    <w:rsid w:val="005174E5"/>
    <w:rsid w:val="00522393"/>
    <w:rsid w:val="00522620"/>
    <w:rsid w:val="005232F6"/>
    <w:rsid w:val="00525656"/>
    <w:rsid w:val="0052594A"/>
    <w:rsid w:val="00526812"/>
    <w:rsid w:val="0052711B"/>
    <w:rsid w:val="0053100F"/>
    <w:rsid w:val="005312D7"/>
    <w:rsid w:val="00532801"/>
    <w:rsid w:val="005332AA"/>
    <w:rsid w:val="00534C02"/>
    <w:rsid w:val="00535AC7"/>
    <w:rsid w:val="0054264B"/>
    <w:rsid w:val="00542F27"/>
    <w:rsid w:val="0054359D"/>
    <w:rsid w:val="00543786"/>
    <w:rsid w:val="00544A82"/>
    <w:rsid w:val="00547358"/>
    <w:rsid w:val="00550083"/>
    <w:rsid w:val="0055219F"/>
    <w:rsid w:val="00552389"/>
    <w:rsid w:val="0055319D"/>
    <w:rsid w:val="005533D7"/>
    <w:rsid w:val="00557F01"/>
    <w:rsid w:val="0056088A"/>
    <w:rsid w:val="00562F63"/>
    <w:rsid w:val="00563170"/>
    <w:rsid w:val="0056658C"/>
    <w:rsid w:val="005703DE"/>
    <w:rsid w:val="00571158"/>
    <w:rsid w:val="00572A01"/>
    <w:rsid w:val="0057348E"/>
    <w:rsid w:val="005735B6"/>
    <w:rsid w:val="00575E28"/>
    <w:rsid w:val="005762B1"/>
    <w:rsid w:val="005768AF"/>
    <w:rsid w:val="00576DB7"/>
    <w:rsid w:val="00577085"/>
    <w:rsid w:val="00577F6D"/>
    <w:rsid w:val="005815CD"/>
    <w:rsid w:val="00582467"/>
    <w:rsid w:val="0058248E"/>
    <w:rsid w:val="00582746"/>
    <w:rsid w:val="0058365F"/>
    <w:rsid w:val="00584519"/>
    <w:rsid w:val="0058464E"/>
    <w:rsid w:val="00590493"/>
    <w:rsid w:val="00592AFE"/>
    <w:rsid w:val="005946B1"/>
    <w:rsid w:val="00594EA8"/>
    <w:rsid w:val="005959B9"/>
    <w:rsid w:val="0059687F"/>
    <w:rsid w:val="0059746F"/>
    <w:rsid w:val="00597527"/>
    <w:rsid w:val="005979B6"/>
    <w:rsid w:val="00597FCD"/>
    <w:rsid w:val="005A01CB"/>
    <w:rsid w:val="005A2D64"/>
    <w:rsid w:val="005A39D4"/>
    <w:rsid w:val="005A58FF"/>
    <w:rsid w:val="005A5EAF"/>
    <w:rsid w:val="005A64C0"/>
    <w:rsid w:val="005A6FDE"/>
    <w:rsid w:val="005A70A5"/>
    <w:rsid w:val="005A7740"/>
    <w:rsid w:val="005A78CB"/>
    <w:rsid w:val="005B2A62"/>
    <w:rsid w:val="005B30E6"/>
    <w:rsid w:val="005B3641"/>
    <w:rsid w:val="005B3C11"/>
    <w:rsid w:val="005B3E7C"/>
    <w:rsid w:val="005B4146"/>
    <w:rsid w:val="005C1576"/>
    <w:rsid w:val="005C1C28"/>
    <w:rsid w:val="005C29AF"/>
    <w:rsid w:val="005C2EF4"/>
    <w:rsid w:val="005C3C01"/>
    <w:rsid w:val="005C4FBA"/>
    <w:rsid w:val="005C5869"/>
    <w:rsid w:val="005C6DB5"/>
    <w:rsid w:val="005D08DC"/>
    <w:rsid w:val="005D0C28"/>
    <w:rsid w:val="005D299B"/>
    <w:rsid w:val="005D39E1"/>
    <w:rsid w:val="005D4EE3"/>
    <w:rsid w:val="005D5511"/>
    <w:rsid w:val="005D5D74"/>
    <w:rsid w:val="005D6980"/>
    <w:rsid w:val="005D718A"/>
    <w:rsid w:val="005E19E7"/>
    <w:rsid w:val="005E39D3"/>
    <w:rsid w:val="005E3E47"/>
    <w:rsid w:val="005E6213"/>
    <w:rsid w:val="005E7C52"/>
    <w:rsid w:val="005F0C12"/>
    <w:rsid w:val="005F4E59"/>
    <w:rsid w:val="005F59A5"/>
    <w:rsid w:val="005F5B6E"/>
    <w:rsid w:val="005F5EBB"/>
    <w:rsid w:val="005F61EA"/>
    <w:rsid w:val="005F654B"/>
    <w:rsid w:val="005F6D0C"/>
    <w:rsid w:val="00601394"/>
    <w:rsid w:val="0060142D"/>
    <w:rsid w:val="00603F39"/>
    <w:rsid w:val="00604EB1"/>
    <w:rsid w:val="0060541E"/>
    <w:rsid w:val="006055AD"/>
    <w:rsid w:val="006139D9"/>
    <w:rsid w:val="00615B0F"/>
    <w:rsid w:val="0061716C"/>
    <w:rsid w:val="00617983"/>
    <w:rsid w:val="006211EB"/>
    <w:rsid w:val="00621840"/>
    <w:rsid w:val="006243A1"/>
    <w:rsid w:val="00625BD6"/>
    <w:rsid w:val="00627676"/>
    <w:rsid w:val="00630CB7"/>
    <w:rsid w:val="00630E02"/>
    <w:rsid w:val="00632E56"/>
    <w:rsid w:val="00634ECD"/>
    <w:rsid w:val="006351CB"/>
    <w:rsid w:val="00635354"/>
    <w:rsid w:val="00635CBA"/>
    <w:rsid w:val="00636095"/>
    <w:rsid w:val="006418B7"/>
    <w:rsid w:val="00642D8F"/>
    <w:rsid w:val="0064330D"/>
    <w:rsid w:val="0064338B"/>
    <w:rsid w:val="00644673"/>
    <w:rsid w:val="00644FD4"/>
    <w:rsid w:val="00645FF2"/>
    <w:rsid w:val="00646542"/>
    <w:rsid w:val="00646BA6"/>
    <w:rsid w:val="006504F4"/>
    <w:rsid w:val="00651071"/>
    <w:rsid w:val="00652D48"/>
    <w:rsid w:val="0065383D"/>
    <w:rsid w:val="00654BC9"/>
    <w:rsid w:val="006552FD"/>
    <w:rsid w:val="00656003"/>
    <w:rsid w:val="006574FB"/>
    <w:rsid w:val="006612B3"/>
    <w:rsid w:val="00661E24"/>
    <w:rsid w:val="00663AF3"/>
    <w:rsid w:val="00666B6C"/>
    <w:rsid w:val="00671AE9"/>
    <w:rsid w:val="00671B06"/>
    <w:rsid w:val="00671FA0"/>
    <w:rsid w:val="006749FD"/>
    <w:rsid w:val="0067596A"/>
    <w:rsid w:val="00675E0B"/>
    <w:rsid w:val="00677BAE"/>
    <w:rsid w:val="00681C51"/>
    <w:rsid w:val="00681FC7"/>
    <w:rsid w:val="00682682"/>
    <w:rsid w:val="00682702"/>
    <w:rsid w:val="006855A3"/>
    <w:rsid w:val="006858F4"/>
    <w:rsid w:val="00685C35"/>
    <w:rsid w:val="00685EDD"/>
    <w:rsid w:val="00686007"/>
    <w:rsid w:val="0068688A"/>
    <w:rsid w:val="00687B19"/>
    <w:rsid w:val="00692368"/>
    <w:rsid w:val="00695D12"/>
    <w:rsid w:val="00695D38"/>
    <w:rsid w:val="00695F42"/>
    <w:rsid w:val="00696987"/>
    <w:rsid w:val="00697A50"/>
    <w:rsid w:val="00697C32"/>
    <w:rsid w:val="006A159C"/>
    <w:rsid w:val="006A2BCC"/>
    <w:rsid w:val="006A2EBC"/>
    <w:rsid w:val="006A4920"/>
    <w:rsid w:val="006A51C4"/>
    <w:rsid w:val="006A592D"/>
    <w:rsid w:val="006A5EA0"/>
    <w:rsid w:val="006A5F17"/>
    <w:rsid w:val="006A709B"/>
    <w:rsid w:val="006A783B"/>
    <w:rsid w:val="006A7B33"/>
    <w:rsid w:val="006B23AE"/>
    <w:rsid w:val="006B3018"/>
    <w:rsid w:val="006B34AE"/>
    <w:rsid w:val="006B4E13"/>
    <w:rsid w:val="006B6BE7"/>
    <w:rsid w:val="006B75DD"/>
    <w:rsid w:val="006C13E3"/>
    <w:rsid w:val="006C28C5"/>
    <w:rsid w:val="006C3AC3"/>
    <w:rsid w:val="006C67E0"/>
    <w:rsid w:val="006C7ABA"/>
    <w:rsid w:val="006D07E3"/>
    <w:rsid w:val="006D0D60"/>
    <w:rsid w:val="006D1122"/>
    <w:rsid w:val="006D1FF3"/>
    <w:rsid w:val="006D26A4"/>
    <w:rsid w:val="006D3C00"/>
    <w:rsid w:val="006D6BE2"/>
    <w:rsid w:val="006D6F07"/>
    <w:rsid w:val="006D74AA"/>
    <w:rsid w:val="006E078E"/>
    <w:rsid w:val="006E1081"/>
    <w:rsid w:val="006E137E"/>
    <w:rsid w:val="006E3675"/>
    <w:rsid w:val="006E3E79"/>
    <w:rsid w:val="006E4A7F"/>
    <w:rsid w:val="006E65F5"/>
    <w:rsid w:val="006E76AF"/>
    <w:rsid w:val="006F212C"/>
    <w:rsid w:val="006F261E"/>
    <w:rsid w:val="006F52BE"/>
    <w:rsid w:val="006F68AB"/>
    <w:rsid w:val="006F6D71"/>
    <w:rsid w:val="006F77BF"/>
    <w:rsid w:val="00700DD4"/>
    <w:rsid w:val="007013E4"/>
    <w:rsid w:val="00702019"/>
    <w:rsid w:val="00702132"/>
    <w:rsid w:val="00702193"/>
    <w:rsid w:val="0070319C"/>
    <w:rsid w:val="007045E1"/>
    <w:rsid w:val="00704DF6"/>
    <w:rsid w:val="0070651C"/>
    <w:rsid w:val="00706BE5"/>
    <w:rsid w:val="00711F82"/>
    <w:rsid w:val="007132A3"/>
    <w:rsid w:val="007162CB"/>
    <w:rsid w:val="00716421"/>
    <w:rsid w:val="007172D4"/>
    <w:rsid w:val="00717421"/>
    <w:rsid w:val="0071760D"/>
    <w:rsid w:val="00723C7C"/>
    <w:rsid w:val="00724EFB"/>
    <w:rsid w:val="0073061F"/>
    <w:rsid w:val="00732BB9"/>
    <w:rsid w:val="0073321B"/>
    <w:rsid w:val="00734D24"/>
    <w:rsid w:val="0073699E"/>
    <w:rsid w:val="00736D95"/>
    <w:rsid w:val="007407EE"/>
    <w:rsid w:val="00740853"/>
    <w:rsid w:val="00741151"/>
    <w:rsid w:val="0074193F"/>
    <w:rsid w:val="007419C3"/>
    <w:rsid w:val="007420B3"/>
    <w:rsid w:val="007448B3"/>
    <w:rsid w:val="007467A7"/>
    <w:rsid w:val="007469DD"/>
    <w:rsid w:val="0074741B"/>
    <w:rsid w:val="0074759E"/>
    <w:rsid w:val="00747845"/>
    <w:rsid w:val="007478EA"/>
    <w:rsid w:val="0075411E"/>
    <w:rsid w:val="0075415C"/>
    <w:rsid w:val="00754535"/>
    <w:rsid w:val="007560CD"/>
    <w:rsid w:val="007564B3"/>
    <w:rsid w:val="00756A09"/>
    <w:rsid w:val="007618EC"/>
    <w:rsid w:val="00761AE7"/>
    <w:rsid w:val="00761CB8"/>
    <w:rsid w:val="0076230C"/>
    <w:rsid w:val="00763502"/>
    <w:rsid w:val="0076407B"/>
    <w:rsid w:val="007655DD"/>
    <w:rsid w:val="00766766"/>
    <w:rsid w:val="00770018"/>
    <w:rsid w:val="00770636"/>
    <w:rsid w:val="00771D43"/>
    <w:rsid w:val="0077277F"/>
    <w:rsid w:val="00773197"/>
    <w:rsid w:val="00774E52"/>
    <w:rsid w:val="007764FA"/>
    <w:rsid w:val="00777311"/>
    <w:rsid w:val="00777F0C"/>
    <w:rsid w:val="00777F9C"/>
    <w:rsid w:val="007806D3"/>
    <w:rsid w:val="00780E89"/>
    <w:rsid w:val="00784017"/>
    <w:rsid w:val="0078658C"/>
    <w:rsid w:val="007913AB"/>
    <w:rsid w:val="007914F7"/>
    <w:rsid w:val="007971CB"/>
    <w:rsid w:val="007971E1"/>
    <w:rsid w:val="007A085D"/>
    <w:rsid w:val="007A1499"/>
    <w:rsid w:val="007A51B4"/>
    <w:rsid w:val="007B1625"/>
    <w:rsid w:val="007B346E"/>
    <w:rsid w:val="007B36FB"/>
    <w:rsid w:val="007B3A09"/>
    <w:rsid w:val="007B4C1F"/>
    <w:rsid w:val="007B706E"/>
    <w:rsid w:val="007B71EB"/>
    <w:rsid w:val="007C00A0"/>
    <w:rsid w:val="007C06C9"/>
    <w:rsid w:val="007C204F"/>
    <w:rsid w:val="007C35F9"/>
    <w:rsid w:val="007C4155"/>
    <w:rsid w:val="007C6205"/>
    <w:rsid w:val="007C686A"/>
    <w:rsid w:val="007C719D"/>
    <w:rsid w:val="007C728E"/>
    <w:rsid w:val="007C79F2"/>
    <w:rsid w:val="007D0483"/>
    <w:rsid w:val="007D1842"/>
    <w:rsid w:val="007D2B8E"/>
    <w:rsid w:val="007D2C53"/>
    <w:rsid w:val="007D3D60"/>
    <w:rsid w:val="007D4307"/>
    <w:rsid w:val="007D57B5"/>
    <w:rsid w:val="007D6B3B"/>
    <w:rsid w:val="007D79B9"/>
    <w:rsid w:val="007E04BA"/>
    <w:rsid w:val="007E137F"/>
    <w:rsid w:val="007E1980"/>
    <w:rsid w:val="007E3462"/>
    <w:rsid w:val="007E4781"/>
    <w:rsid w:val="007E47DA"/>
    <w:rsid w:val="007E4B76"/>
    <w:rsid w:val="007E5526"/>
    <w:rsid w:val="007E5EA8"/>
    <w:rsid w:val="007E7198"/>
    <w:rsid w:val="007E760D"/>
    <w:rsid w:val="007E77D6"/>
    <w:rsid w:val="007F0CF1"/>
    <w:rsid w:val="007F12A5"/>
    <w:rsid w:val="007F1E14"/>
    <w:rsid w:val="007F2529"/>
    <w:rsid w:val="007F2FE7"/>
    <w:rsid w:val="007F4CF1"/>
    <w:rsid w:val="007F55E2"/>
    <w:rsid w:val="007F61E9"/>
    <w:rsid w:val="007F758D"/>
    <w:rsid w:val="007F7D52"/>
    <w:rsid w:val="00802786"/>
    <w:rsid w:val="00803F68"/>
    <w:rsid w:val="008043B5"/>
    <w:rsid w:val="00804733"/>
    <w:rsid w:val="00804B92"/>
    <w:rsid w:val="0080654C"/>
    <w:rsid w:val="008071C6"/>
    <w:rsid w:val="00810875"/>
    <w:rsid w:val="00811305"/>
    <w:rsid w:val="008145DC"/>
    <w:rsid w:val="0081635C"/>
    <w:rsid w:val="00816CE1"/>
    <w:rsid w:val="00817A00"/>
    <w:rsid w:val="00817C03"/>
    <w:rsid w:val="008200E4"/>
    <w:rsid w:val="00821088"/>
    <w:rsid w:val="00824373"/>
    <w:rsid w:val="00826E9C"/>
    <w:rsid w:val="008313E7"/>
    <w:rsid w:val="0083202E"/>
    <w:rsid w:val="00833438"/>
    <w:rsid w:val="00833D66"/>
    <w:rsid w:val="0083473F"/>
    <w:rsid w:val="00835DB3"/>
    <w:rsid w:val="00835E46"/>
    <w:rsid w:val="00835FD5"/>
    <w:rsid w:val="0083617B"/>
    <w:rsid w:val="008371BD"/>
    <w:rsid w:val="008401AE"/>
    <w:rsid w:val="00840599"/>
    <w:rsid w:val="00840729"/>
    <w:rsid w:val="00841D46"/>
    <w:rsid w:val="008430B3"/>
    <w:rsid w:val="0084467C"/>
    <w:rsid w:val="008504A8"/>
    <w:rsid w:val="0085092A"/>
    <w:rsid w:val="00851010"/>
    <w:rsid w:val="00851E1C"/>
    <w:rsid w:val="0085282E"/>
    <w:rsid w:val="00860735"/>
    <w:rsid w:val="0086263B"/>
    <w:rsid w:val="00862B6C"/>
    <w:rsid w:val="00862DC0"/>
    <w:rsid w:val="00866FE6"/>
    <w:rsid w:val="008700EE"/>
    <w:rsid w:val="0087198C"/>
    <w:rsid w:val="00871992"/>
    <w:rsid w:val="0087291D"/>
    <w:rsid w:val="00872C1F"/>
    <w:rsid w:val="00872C97"/>
    <w:rsid w:val="0087366D"/>
    <w:rsid w:val="00873B42"/>
    <w:rsid w:val="008760AB"/>
    <w:rsid w:val="008767C2"/>
    <w:rsid w:val="00876D88"/>
    <w:rsid w:val="008804C3"/>
    <w:rsid w:val="0088251B"/>
    <w:rsid w:val="00882AE0"/>
    <w:rsid w:val="008836DC"/>
    <w:rsid w:val="008856D8"/>
    <w:rsid w:val="00885D32"/>
    <w:rsid w:val="00887946"/>
    <w:rsid w:val="008916BC"/>
    <w:rsid w:val="00892E82"/>
    <w:rsid w:val="00893F88"/>
    <w:rsid w:val="00894E49"/>
    <w:rsid w:val="008953F3"/>
    <w:rsid w:val="008A44EB"/>
    <w:rsid w:val="008A6A86"/>
    <w:rsid w:val="008A7F54"/>
    <w:rsid w:val="008B10EC"/>
    <w:rsid w:val="008B11CA"/>
    <w:rsid w:val="008B4E0E"/>
    <w:rsid w:val="008B500F"/>
    <w:rsid w:val="008B77B3"/>
    <w:rsid w:val="008C0FCE"/>
    <w:rsid w:val="008C1B58"/>
    <w:rsid w:val="008C20B0"/>
    <w:rsid w:val="008C35CC"/>
    <w:rsid w:val="008C39AE"/>
    <w:rsid w:val="008C4AB1"/>
    <w:rsid w:val="008C590D"/>
    <w:rsid w:val="008C5D2F"/>
    <w:rsid w:val="008C725D"/>
    <w:rsid w:val="008D0555"/>
    <w:rsid w:val="008D072A"/>
    <w:rsid w:val="008D0A10"/>
    <w:rsid w:val="008D1BE1"/>
    <w:rsid w:val="008D6987"/>
    <w:rsid w:val="008D7125"/>
    <w:rsid w:val="008E031B"/>
    <w:rsid w:val="008E0B5F"/>
    <w:rsid w:val="008E1290"/>
    <w:rsid w:val="008E3089"/>
    <w:rsid w:val="008E51AB"/>
    <w:rsid w:val="008E5440"/>
    <w:rsid w:val="008E5B1C"/>
    <w:rsid w:val="008E7029"/>
    <w:rsid w:val="008E7031"/>
    <w:rsid w:val="008E7EF6"/>
    <w:rsid w:val="008F1F98"/>
    <w:rsid w:val="008F6758"/>
    <w:rsid w:val="00900955"/>
    <w:rsid w:val="00901153"/>
    <w:rsid w:val="009014D6"/>
    <w:rsid w:val="00902FE4"/>
    <w:rsid w:val="009040DD"/>
    <w:rsid w:val="0090592C"/>
    <w:rsid w:val="00905B47"/>
    <w:rsid w:val="00907283"/>
    <w:rsid w:val="00911698"/>
    <w:rsid w:val="0091331C"/>
    <w:rsid w:val="009149A9"/>
    <w:rsid w:val="00915378"/>
    <w:rsid w:val="00915382"/>
    <w:rsid w:val="00916738"/>
    <w:rsid w:val="0091717E"/>
    <w:rsid w:val="00917EC1"/>
    <w:rsid w:val="00920636"/>
    <w:rsid w:val="009244FC"/>
    <w:rsid w:val="00924E03"/>
    <w:rsid w:val="00925993"/>
    <w:rsid w:val="0092786E"/>
    <w:rsid w:val="009279DE"/>
    <w:rsid w:val="00930116"/>
    <w:rsid w:val="00934115"/>
    <w:rsid w:val="0093460F"/>
    <w:rsid w:val="00935242"/>
    <w:rsid w:val="009365BA"/>
    <w:rsid w:val="00937696"/>
    <w:rsid w:val="0094212C"/>
    <w:rsid w:val="009423C2"/>
    <w:rsid w:val="009440B8"/>
    <w:rsid w:val="009470B0"/>
    <w:rsid w:val="00947E11"/>
    <w:rsid w:val="009511FC"/>
    <w:rsid w:val="00954689"/>
    <w:rsid w:val="009551AE"/>
    <w:rsid w:val="009555BE"/>
    <w:rsid w:val="0095577D"/>
    <w:rsid w:val="009617C9"/>
    <w:rsid w:val="00961C93"/>
    <w:rsid w:val="00961D69"/>
    <w:rsid w:val="009624C5"/>
    <w:rsid w:val="00962DF1"/>
    <w:rsid w:val="00964635"/>
    <w:rsid w:val="00964E8F"/>
    <w:rsid w:val="00965324"/>
    <w:rsid w:val="0096712B"/>
    <w:rsid w:val="0096719D"/>
    <w:rsid w:val="0097091E"/>
    <w:rsid w:val="00971FB9"/>
    <w:rsid w:val="00972514"/>
    <w:rsid w:val="00973511"/>
    <w:rsid w:val="00973CFD"/>
    <w:rsid w:val="00974505"/>
    <w:rsid w:val="00974FCA"/>
    <w:rsid w:val="009760D3"/>
    <w:rsid w:val="00976A23"/>
    <w:rsid w:val="00976FF3"/>
    <w:rsid w:val="00977132"/>
    <w:rsid w:val="00977147"/>
    <w:rsid w:val="009810F5"/>
    <w:rsid w:val="00981451"/>
    <w:rsid w:val="00981A4B"/>
    <w:rsid w:val="00981D55"/>
    <w:rsid w:val="00982501"/>
    <w:rsid w:val="00983652"/>
    <w:rsid w:val="009837D9"/>
    <w:rsid w:val="00983D05"/>
    <w:rsid w:val="00986900"/>
    <w:rsid w:val="009877D3"/>
    <w:rsid w:val="0099138B"/>
    <w:rsid w:val="009918F6"/>
    <w:rsid w:val="00992E67"/>
    <w:rsid w:val="00994905"/>
    <w:rsid w:val="00994E8F"/>
    <w:rsid w:val="009951DC"/>
    <w:rsid w:val="009959BB"/>
    <w:rsid w:val="00995E26"/>
    <w:rsid w:val="0099646C"/>
    <w:rsid w:val="00997158"/>
    <w:rsid w:val="00997A9E"/>
    <w:rsid w:val="00997B91"/>
    <w:rsid w:val="009A144B"/>
    <w:rsid w:val="009A2A49"/>
    <w:rsid w:val="009A2F46"/>
    <w:rsid w:val="009A3A7C"/>
    <w:rsid w:val="009A69A6"/>
    <w:rsid w:val="009B1C2D"/>
    <w:rsid w:val="009B2ADB"/>
    <w:rsid w:val="009B2C0D"/>
    <w:rsid w:val="009B3862"/>
    <w:rsid w:val="009B4B14"/>
    <w:rsid w:val="009B571B"/>
    <w:rsid w:val="009B5F60"/>
    <w:rsid w:val="009B603A"/>
    <w:rsid w:val="009B7AA6"/>
    <w:rsid w:val="009C06BA"/>
    <w:rsid w:val="009C0CD8"/>
    <w:rsid w:val="009C0F82"/>
    <w:rsid w:val="009C2D0E"/>
    <w:rsid w:val="009C3DAC"/>
    <w:rsid w:val="009C42E0"/>
    <w:rsid w:val="009C503C"/>
    <w:rsid w:val="009C50F9"/>
    <w:rsid w:val="009C6E6D"/>
    <w:rsid w:val="009D040D"/>
    <w:rsid w:val="009D0BAA"/>
    <w:rsid w:val="009D0E4D"/>
    <w:rsid w:val="009D1915"/>
    <w:rsid w:val="009D1EA6"/>
    <w:rsid w:val="009D27EE"/>
    <w:rsid w:val="009D3AAC"/>
    <w:rsid w:val="009D5362"/>
    <w:rsid w:val="009D6D37"/>
    <w:rsid w:val="009D73B7"/>
    <w:rsid w:val="009E12D6"/>
    <w:rsid w:val="009E1415"/>
    <w:rsid w:val="009E34DA"/>
    <w:rsid w:val="009E3998"/>
    <w:rsid w:val="009E49DF"/>
    <w:rsid w:val="009E6116"/>
    <w:rsid w:val="009E6BD6"/>
    <w:rsid w:val="009E723D"/>
    <w:rsid w:val="009F2A61"/>
    <w:rsid w:val="009F565B"/>
    <w:rsid w:val="009F5FF6"/>
    <w:rsid w:val="009F609C"/>
    <w:rsid w:val="009F6563"/>
    <w:rsid w:val="009F7150"/>
    <w:rsid w:val="00A0082F"/>
    <w:rsid w:val="00A0107F"/>
    <w:rsid w:val="00A02E43"/>
    <w:rsid w:val="00A03458"/>
    <w:rsid w:val="00A065F9"/>
    <w:rsid w:val="00A07F34"/>
    <w:rsid w:val="00A11DC5"/>
    <w:rsid w:val="00A124BA"/>
    <w:rsid w:val="00A1419F"/>
    <w:rsid w:val="00A14482"/>
    <w:rsid w:val="00A16368"/>
    <w:rsid w:val="00A2057A"/>
    <w:rsid w:val="00A22154"/>
    <w:rsid w:val="00A22C98"/>
    <w:rsid w:val="00A23B4E"/>
    <w:rsid w:val="00A247E7"/>
    <w:rsid w:val="00A25564"/>
    <w:rsid w:val="00A25C38"/>
    <w:rsid w:val="00A27051"/>
    <w:rsid w:val="00A2722A"/>
    <w:rsid w:val="00A3124F"/>
    <w:rsid w:val="00A314BD"/>
    <w:rsid w:val="00A326EA"/>
    <w:rsid w:val="00A33FBC"/>
    <w:rsid w:val="00A3401F"/>
    <w:rsid w:val="00A34056"/>
    <w:rsid w:val="00A35F5A"/>
    <w:rsid w:val="00A3697F"/>
    <w:rsid w:val="00A36BBE"/>
    <w:rsid w:val="00A403F0"/>
    <w:rsid w:val="00A41A84"/>
    <w:rsid w:val="00A42250"/>
    <w:rsid w:val="00A4307A"/>
    <w:rsid w:val="00A45250"/>
    <w:rsid w:val="00A4526D"/>
    <w:rsid w:val="00A47EBB"/>
    <w:rsid w:val="00A51CDD"/>
    <w:rsid w:val="00A52764"/>
    <w:rsid w:val="00A52AF3"/>
    <w:rsid w:val="00A57669"/>
    <w:rsid w:val="00A57DFC"/>
    <w:rsid w:val="00A60FD6"/>
    <w:rsid w:val="00A6196F"/>
    <w:rsid w:val="00A61C5D"/>
    <w:rsid w:val="00A6205F"/>
    <w:rsid w:val="00A62672"/>
    <w:rsid w:val="00A63151"/>
    <w:rsid w:val="00A636E9"/>
    <w:rsid w:val="00A63B0E"/>
    <w:rsid w:val="00A63B3E"/>
    <w:rsid w:val="00A645D3"/>
    <w:rsid w:val="00A64D2F"/>
    <w:rsid w:val="00A6561D"/>
    <w:rsid w:val="00A6730D"/>
    <w:rsid w:val="00A673DE"/>
    <w:rsid w:val="00A70CE2"/>
    <w:rsid w:val="00A70D43"/>
    <w:rsid w:val="00A71625"/>
    <w:rsid w:val="00A71B9B"/>
    <w:rsid w:val="00A747BB"/>
    <w:rsid w:val="00A751C7"/>
    <w:rsid w:val="00A756FE"/>
    <w:rsid w:val="00A7751B"/>
    <w:rsid w:val="00A815FD"/>
    <w:rsid w:val="00A836F2"/>
    <w:rsid w:val="00A84924"/>
    <w:rsid w:val="00A8566C"/>
    <w:rsid w:val="00A86381"/>
    <w:rsid w:val="00A86847"/>
    <w:rsid w:val="00A87844"/>
    <w:rsid w:val="00A9190A"/>
    <w:rsid w:val="00A93C08"/>
    <w:rsid w:val="00AA038C"/>
    <w:rsid w:val="00AA0763"/>
    <w:rsid w:val="00AA0F37"/>
    <w:rsid w:val="00AA36AF"/>
    <w:rsid w:val="00AA4350"/>
    <w:rsid w:val="00AA6F21"/>
    <w:rsid w:val="00AA7A09"/>
    <w:rsid w:val="00AB2819"/>
    <w:rsid w:val="00AB3236"/>
    <w:rsid w:val="00AB3B50"/>
    <w:rsid w:val="00AB5429"/>
    <w:rsid w:val="00AB6E27"/>
    <w:rsid w:val="00AC05B1"/>
    <w:rsid w:val="00AC0EF4"/>
    <w:rsid w:val="00AC2226"/>
    <w:rsid w:val="00AC2EDC"/>
    <w:rsid w:val="00AC5179"/>
    <w:rsid w:val="00AC76F6"/>
    <w:rsid w:val="00AD3474"/>
    <w:rsid w:val="00AD356C"/>
    <w:rsid w:val="00AD49D0"/>
    <w:rsid w:val="00AD5A45"/>
    <w:rsid w:val="00AD63BC"/>
    <w:rsid w:val="00AD7290"/>
    <w:rsid w:val="00AE0F21"/>
    <w:rsid w:val="00AE2914"/>
    <w:rsid w:val="00AE2960"/>
    <w:rsid w:val="00AE37E3"/>
    <w:rsid w:val="00AE4A71"/>
    <w:rsid w:val="00AE5D4F"/>
    <w:rsid w:val="00AE5D91"/>
    <w:rsid w:val="00AE6D15"/>
    <w:rsid w:val="00AF3885"/>
    <w:rsid w:val="00AF4B9C"/>
    <w:rsid w:val="00AF6D21"/>
    <w:rsid w:val="00B01335"/>
    <w:rsid w:val="00B039C5"/>
    <w:rsid w:val="00B04182"/>
    <w:rsid w:val="00B047FE"/>
    <w:rsid w:val="00B07371"/>
    <w:rsid w:val="00B07AE3"/>
    <w:rsid w:val="00B10ACD"/>
    <w:rsid w:val="00B11430"/>
    <w:rsid w:val="00B116A5"/>
    <w:rsid w:val="00B11CEA"/>
    <w:rsid w:val="00B12AE8"/>
    <w:rsid w:val="00B162F2"/>
    <w:rsid w:val="00B16FEB"/>
    <w:rsid w:val="00B210F4"/>
    <w:rsid w:val="00B237C8"/>
    <w:rsid w:val="00B23FAB"/>
    <w:rsid w:val="00B245AB"/>
    <w:rsid w:val="00B325D2"/>
    <w:rsid w:val="00B353EB"/>
    <w:rsid w:val="00B400C7"/>
    <w:rsid w:val="00B41E60"/>
    <w:rsid w:val="00B439C4"/>
    <w:rsid w:val="00B4535E"/>
    <w:rsid w:val="00B45732"/>
    <w:rsid w:val="00B465B6"/>
    <w:rsid w:val="00B470D9"/>
    <w:rsid w:val="00B47B17"/>
    <w:rsid w:val="00B5031B"/>
    <w:rsid w:val="00B52A8C"/>
    <w:rsid w:val="00B5459D"/>
    <w:rsid w:val="00B560C0"/>
    <w:rsid w:val="00B564DD"/>
    <w:rsid w:val="00B6027E"/>
    <w:rsid w:val="00B6189A"/>
    <w:rsid w:val="00B62496"/>
    <w:rsid w:val="00B62789"/>
    <w:rsid w:val="00B636A8"/>
    <w:rsid w:val="00B64404"/>
    <w:rsid w:val="00B64BBF"/>
    <w:rsid w:val="00B65E9F"/>
    <w:rsid w:val="00B66214"/>
    <w:rsid w:val="00B665C6"/>
    <w:rsid w:val="00B667E5"/>
    <w:rsid w:val="00B70E4E"/>
    <w:rsid w:val="00B719AA"/>
    <w:rsid w:val="00B7243D"/>
    <w:rsid w:val="00B805AF"/>
    <w:rsid w:val="00B8168E"/>
    <w:rsid w:val="00B81D93"/>
    <w:rsid w:val="00B826D9"/>
    <w:rsid w:val="00B82CBD"/>
    <w:rsid w:val="00B830AD"/>
    <w:rsid w:val="00B85994"/>
    <w:rsid w:val="00B8609C"/>
    <w:rsid w:val="00B869EC"/>
    <w:rsid w:val="00B911CC"/>
    <w:rsid w:val="00B9397A"/>
    <w:rsid w:val="00B94B45"/>
    <w:rsid w:val="00B9633D"/>
    <w:rsid w:val="00B97476"/>
    <w:rsid w:val="00BA269D"/>
    <w:rsid w:val="00BA2A4A"/>
    <w:rsid w:val="00BA2EBE"/>
    <w:rsid w:val="00BA3836"/>
    <w:rsid w:val="00BA5EBB"/>
    <w:rsid w:val="00BB0F28"/>
    <w:rsid w:val="00BB22E7"/>
    <w:rsid w:val="00BB3329"/>
    <w:rsid w:val="00BB432C"/>
    <w:rsid w:val="00BB458A"/>
    <w:rsid w:val="00BB5B30"/>
    <w:rsid w:val="00BB5FC2"/>
    <w:rsid w:val="00BC198E"/>
    <w:rsid w:val="00BC397F"/>
    <w:rsid w:val="00BC5AF5"/>
    <w:rsid w:val="00BD00D3"/>
    <w:rsid w:val="00BD1131"/>
    <w:rsid w:val="00BD118D"/>
    <w:rsid w:val="00BD1659"/>
    <w:rsid w:val="00BD2A0F"/>
    <w:rsid w:val="00BD3AA9"/>
    <w:rsid w:val="00BD4A18"/>
    <w:rsid w:val="00BD6DB2"/>
    <w:rsid w:val="00BD70FA"/>
    <w:rsid w:val="00BE11CF"/>
    <w:rsid w:val="00BE1285"/>
    <w:rsid w:val="00BE21AB"/>
    <w:rsid w:val="00BE442A"/>
    <w:rsid w:val="00BE55CB"/>
    <w:rsid w:val="00BE6813"/>
    <w:rsid w:val="00BE7136"/>
    <w:rsid w:val="00BF4259"/>
    <w:rsid w:val="00BF617A"/>
    <w:rsid w:val="00BF6982"/>
    <w:rsid w:val="00C0379D"/>
    <w:rsid w:val="00C03931"/>
    <w:rsid w:val="00C04083"/>
    <w:rsid w:val="00C0416C"/>
    <w:rsid w:val="00C05FE3"/>
    <w:rsid w:val="00C065D0"/>
    <w:rsid w:val="00C06894"/>
    <w:rsid w:val="00C12A47"/>
    <w:rsid w:val="00C211F4"/>
    <w:rsid w:val="00C2136D"/>
    <w:rsid w:val="00C214EE"/>
    <w:rsid w:val="00C22048"/>
    <w:rsid w:val="00C2256B"/>
    <w:rsid w:val="00C22711"/>
    <w:rsid w:val="00C2314B"/>
    <w:rsid w:val="00C24971"/>
    <w:rsid w:val="00C24983"/>
    <w:rsid w:val="00C24CEE"/>
    <w:rsid w:val="00C26812"/>
    <w:rsid w:val="00C26B0C"/>
    <w:rsid w:val="00C26BE5"/>
    <w:rsid w:val="00C26CAD"/>
    <w:rsid w:val="00C26E4D"/>
    <w:rsid w:val="00C27909"/>
    <w:rsid w:val="00C27B03"/>
    <w:rsid w:val="00C3066B"/>
    <w:rsid w:val="00C314E1"/>
    <w:rsid w:val="00C32A96"/>
    <w:rsid w:val="00C33FD3"/>
    <w:rsid w:val="00C34397"/>
    <w:rsid w:val="00C4095D"/>
    <w:rsid w:val="00C41896"/>
    <w:rsid w:val="00C41C98"/>
    <w:rsid w:val="00C43AAD"/>
    <w:rsid w:val="00C455EF"/>
    <w:rsid w:val="00C45FDD"/>
    <w:rsid w:val="00C469F7"/>
    <w:rsid w:val="00C5151E"/>
    <w:rsid w:val="00C521E0"/>
    <w:rsid w:val="00C538C6"/>
    <w:rsid w:val="00C54D44"/>
    <w:rsid w:val="00C57798"/>
    <w:rsid w:val="00C601D2"/>
    <w:rsid w:val="00C61830"/>
    <w:rsid w:val="00C6231F"/>
    <w:rsid w:val="00C63524"/>
    <w:rsid w:val="00C63747"/>
    <w:rsid w:val="00C647B4"/>
    <w:rsid w:val="00C656A7"/>
    <w:rsid w:val="00C65BCC"/>
    <w:rsid w:val="00C66970"/>
    <w:rsid w:val="00C71825"/>
    <w:rsid w:val="00C7197E"/>
    <w:rsid w:val="00C741DE"/>
    <w:rsid w:val="00C74C79"/>
    <w:rsid w:val="00C758A4"/>
    <w:rsid w:val="00C76873"/>
    <w:rsid w:val="00C77185"/>
    <w:rsid w:val="00C77270"/>
    <w:rsid w:val="00C77F77"/>
    <w:rsid w:val="00C8133D"/>
    <w:rsid w:val="00C83194"/>
    <w:rsid w:val="00C84E45"/>
    <w:rsid w:val="00C8691C"/>
    <w:rsid w:val="00C90299"/>
    <w:rsid w:val="00C912E2"/>
    <w:rsid w:val="00C92486"/>
    <w:rsid w:val="00C9398F"/>
    <w:rsid w:val="00C93B1C"/>
    <w:rsid w:val="00C95932"/>
    <w:rsid w:val="00C960AC"/>
    <w:rsid w:val="00C9698B"/>
    <w:rsid w:val="00CA1276"/>
    <w:rsid w:val="00CA14E9"/>
    <w:rsid w:val="00CA168A"/>
    <w:rsid w:val="00CA2428"/>
    <w:rsid w:val="00CA357E"/>
    <w:rsid w:val="00CA44F6"/>
    <w:rsid w:val="00CA44F9"/>
    <w:rsid w:val="00CA4A69"/>
    <w:rsid w:val="00CA6420"/>
    <w:rsid w:val="00CA671D"/>
    <w:rsid w:val="00CA6DFB"/>
    <w:rsid w:val="00CA777A"/>
    <w:rsid w:val="00CB0441"/>
    <w:rsid w:val="00CB19CF"/>
    <w:rsid w:val="00CB231B"/>
    <w:rsid w:val="00CB41ED"/>
    <w:rsid w:val="00CB4319"/>
    <w:rsid w:val="00CB4E49"/>
    <w:rsid w:val="00CB64AE"/>
    <w:rsid w:val="00CB7076"/>
    <w:rsid w:val="00CB7E70"/>
    <w:rsid w:val="00CC2A04"/>
    <w:rsid w:val="00CC36C8"/>
    <w:rsid w:val="00CC3977"/>
    <w:rsid w:val="00CC3E0C"/>
    <w:rsid w:val="00CC43EE"/>
    <w:rsid w:val="00CC4C5C"/>
    <w:rsid w:val="00CC58D3"/>
    <w:rsid w:val="00CC7288"/>
    <w:rsid w:val="00CC784D"/>
    <w:rsid w:val="00CD0677"/>
    <w:rsid w:val="00CD24C7"/>
    <w:rsid w:val="00CD2B46"/>
    <w:rsid w:val="00CD4C9A"/>
    <w:rsid w:val="00CE070E"/>
    <w:rsid w:val="00CE07E4"/>
    <w:rsid w:val="00CE0A4A"/>
    <w:rsid w:val="00CE2C74"/>
    <w:rsid w:val="00CE3674"/>
    <w:rsid w:val="00CE6698"/>
    <w:rsid w:val="00CE68E8"/>
    <w:rsid w:val="00CE6EF0"/>
    <w:rsid w:val="00CE7EF5"/>
    <w:rsid w:val="00CF2220"/>
    <w:rsid w:val="00CF30EF"/>
    <w:rsid w:val="00CF58F2"/>
    <w:rsid w:val="00CF5EC3"/>
    <w:rsid w:val="00CF772F"/>
    <w:rsid w:val="00D00566"/>
    <w:rsid w:val="00D01068"/>
    <w:rsid w:val="00D01815"/>
    <w:rsid w:val="00D01B4D"/>
    <w:rsid w:val="00D0337B"/>
    <w:rsid w:val="00D052BB"/>
    <w:rsid w:val="00D061A1"/>
    <w:rsid w:val="00D0751B"/>
    <w:rsid w:val="00D079B2"/>
    <w:rsid w:val="00D079BD"/>
    <w:rsid w:val="00D10945"/>
    <w:rsid w:val="00D114E9"/>
    <w:rsid w:val="00D115D1"/>
    <w:rsid w:val="00D13C48"/>
    <w:rsid w:val="00D151B8"/>
    <w:rsid w:val="00D16376"/>
    <w:rsid w:val="00D163EC"/>
    <w:rsid w:val="00D168C0"/>
    <w:rsid w:val="00D20D87"/>
    <w:rsid w:val="00D21BFE"/>
    <w:rsid w:val="00D21E09"/>
    <w:rsid w:val="00D23B60"/>
    <w:rsid w:val="00D2415B"/>
    <w:rsid w:val="00D24CCE"/>
    <w:rsid w:val="00D25704"/>
    <w:rsid w:val="00D25969"/>
    <w:rsid w:val="00D27B35"/>
    <w:rsid w:val="00D30863"/>
    <w:rsid w:val="00D308BB"/>
    <w:rsid w:val="00D32DBB"/>
    <w:rsid w:val="00D34029"/>
    <w:rsid w:val="00D34498"/>
    <w:rsid w:val="00D34A03"/>
    <w:rsid w:val="00D36D12"/>
    <w:rsid w:val="00D372F4"/>
    <w:rsid w:val="00D41105"/>
    <w:rsid w:val="00D429C6"/>
    <w:rsid w:val="00D443CB"/>
    <w:rsid w:val="00D4476D"/>
    <w:rsid w:val="00D464C0"/>
    <w:rsid w:val="00D46673"/>
    <w:rsid w:val="00D47141"/>
    <w:rsid w:val="00D47748"/>
    <w:rsid w:val="00D47798"/>
    <w:rsid w:val="00D47E10"/>
    <w:rsid w:val="00D53ABB"/>
    <w:rsid w:val="00D54AAF"/>
    <w:rsid w:val="00D54B42"/>
    <w:rsid w:val="00D54CC3"/>
    <w:rsid w:val="00D552EE"/>
    <w:rsid w:val="00D6041A"/>
    <w:rsid w:val="00D61922"/>
    <w:rsid w:val="00D6322C"/>
    <w:rsid w:val="00D633EB"/>
    <w:rsid w:val="00D658E6"/>
    <w:rsid w:val="00D67634"/>
    <w:rsid w:val="00D7350F"/>
    <w:rsid w:val="00D73A7E"/>
    <w:rsid w:val="00D73F74"/>
    <w:rsid w:val="00D7530D"/>
    <w:rsid w:val="00D779BC"/>
    <w:rsid w:val="00D80396"/>
    <w:rsid w:val="00D822EC"/>
    <w:rsid w:val="00D82353"/>
    <w:rsid w:val="00D82FF7"/>
    <w:rsid w:val="00D847FE"/>
    <w:rsid w:val="00D84C67"/>
    <w:rsid w:val="00D85566"/>
    <w:rsid w:val="00D8604E"/>
    <w:rsid w:val="00D86374"/>
    <w:rsid w:val="00D904CA"/>
    <w:rsid w:val="00D92241"/>
    <w:rsid w:val="00D927D4"/>
    <w:rsid w:val="00D9314D"/>
    <w:rsid w:val="00D94374"/>
    <w:rsid w:val="00D95936"/>
    <w:rsid w:val="00D9607C"/>
    <w:rsid w:val="00D964EA"/>
    <w:rsid w:val="00D966D0"/>
    <w:rsid w:val="00D9710C"/>
    <w:rsid w:val="00D9790A"/>
    <w:rsid w:val="00DA0A6B"/>
    <w:rsid w:val="00DA0C59"/>
    <w:rsid w:val="00DA0DD5"/>
    <w:rsid w:val="00DA0E6B"/>
    <w:rsid w:val="00DA15F9"/>
    <w:rsid w:val="00DA3991"/>
    <w:rsid w:val="00DA470B"/>
    <w:rsid w:val="00DA5800"/>
    <w:rsid w:val="00DB08B6"/>
    <w:rsid w:val="00DB0E85"/>
    <w:rsid w:val="00DB2408"/>
    <w:rsid w:val="00DB2B5D"/>
    <w:rsid w:val="00DB4BDF"/>
    <w:rsid w:val="00DB4C2F"/>
    <w:rsid w:val="00DB51AC"/>
    <w:rsid w:val="00DB5FD8"/>
    <w:rsid w:val="00DB7E6C"/>
    <w:rsid w:val="00DC2D31"/>
    <w:rsid w:val="00DC6168"/>
    <w:rsid w:val="00DC7F72"/>
    <w:rsid w:val="00DD141C"/>
    <w:rsid w:val="00DD21CB"/>
    <w:rsid w:val="00DD3AC0"/>
    <w:rsid w:val="00DD47B0"/>
    <w:rsid w:val="00DD49AD"/>
    <w:rsid w:val="00DD50D6"/>
    <w:rsid w:val="00DD5A29"/>
    <w:rsid w:val="00DD5D9D"/>
    <w:rsid w:val="00DD7F41"/>
    <w:rsid w:val="00DE000C"/>
    <w:rsid w:val="00DE1307"/>
    <w:rsid w:val="00DE2FDB"/>
    <w:rsid w:val="00DE35CB"/>
    <w:rsid w:val="00DE4A3A"/>
    <w:rsid w:val="00DE56FF"/>
    <w:rsid w:val="00DE5D6B"/>
    <w:rsid w:val="00DE7229"/>
    <w:rsid w:val="00DF0DFD"/>
    <w:rsid w:val="00DF150F"/>
    <w:rsid w:val="00DF1576"/>
    <w:rsid w:val="00DF21E9"/>
    <w:rsid w:val="00DF387C"/>
    <w:rsid w:val="00DF4B4E"/>
    <w:rsid w:val="00DF5B4D"/>
    <w:rsid w:val="00DF6187"/>
    <w:rsid w:val="00DF763A"/>
    <w:rsid w:val="00E00F14"/>
    <w:rsid w:val="00E031AB"/>
    <w:rsid w:val="00E06386"/>
    <w:rsid w:val="00E06B77"/>
    <w:rsid w:val="00E13CA2"/>
    <w:rsid w:val="00E16423"/>
    <w:rsid w:val="00E16594"/>
    <w:rsid w:val="00E178EA"/>
    <w:rsid w:val="00E17B16"/>
    <w:rsid w:val="00E20F08"/>
    <w:rsid w:val="00E24EB4"/>
    <w:rsid w:val="00E252F7"/>
    <w:rsid w:val="00E27E1A"/>
    <w:rsid w:val="00E316E6"/>
    <w:rsid w:val="00E31EC3"/>
    <w:rsid w:val="00E320ED"/>
    <w:rsid w:val="00E33AFB"/>
    <w:rsid w:val="00E340EA"/>
    <w:rsid w:val="00E34218"/>
    <w:rsid w:val="00E36FA0"/>
    <w:rsid w:val="00E45053"/>
    <w:rsid w:val="00E46176"/>
    <w:rsid w:val="00E46282"/>
    <w:rsid w:val="00E47014"/>
    <w:rsid w:val="00E474A0"/>
    <w:rsid w:val="00E47C82"/>
    <w:rsid w:val="00E51E92"/>
    <w:rsid w:val="00E5216E"/>
    <w:rsid w:val="00E52994"/>
    <w:rsid w:val="00E52C93"/>
    <w:rsid w:val="00E5388F"/>
    <w:rsid w:val="00E55766"/>
    <w:rsid w:val="00E60674"/>
    <w:rsid w:val="00E63503"/>
    <w:rsid w:val="00E659D2"/>
    <w:rsid w:val="00E663F5"/>
    <w:rsid w:val="00E67750"/>
    <w:rsid w:val="00E70200"/>
    <w:rsid w:val="00E704FB"/>
    <w:rsid w:val="00E717AE"/>
    <w:rsid w:val="00E72757"/>
    <w:rsid w:val="00E7290C"/>
    <w:rsid w:val="00E72C3B"/>
    <w:rsid w:val="00E73ED5"/>
    <w:rsid w:val="00E74EC3"/>
    <w:rsid w:val="00E75C6B"/>
    <w:rsid w:val="00E764C3"/>
    <w:rsid w:val="00E80702"/>
    <w:rsid w:val="00E81E3C"/>
    <w:rsid w:val="00E82344"/>
    <w:rsid w:val="00E84C82"/>
    <w:rsid w:val="00E84D64"/>
    <w:rsid w:val="00E86B20"/>
    <w:rsid w:val="00E871BE"/>
    <w:rsid w:val="00E87408"/>
    <w:rsid w:val="00E87E59"/>
    <w:rsid w:val="00E90609"/>
    <w:rsid w:val="00E914C4"/>
    <w:rsid w:val="00E93419"/>
    <w:rsid w:val="00E934F5"/>
    <w:rsid w:val="00E95CBC"/>
    <w:rsid w:val="00E96961"/>
    <w:rsid w:val="00E97E11"/>
    <w:rsid w:val="00EA29B9"/>
    <w:rsid w:val="00EA335D"/>
    <w:rsid w:val="00EA3C89"/>
    <w:rsid w:val="00EA5970"/>
    <w:rsid w:val="00EA5BC1"/>
    <w:rsid w:val="00EA616F"/>
    <w:rsid w:val="00EA6CC9"/>
    <w:rsid w:val="00EA72EC"/>
    <w:rsid w:val="00EA7BFE"/>
    <w:rsid w:val="00EB087F"/>
    <w:rsid w:val="00EB11CB"/>
    <w:rsid w:val="00EB275A"/>
    <w:rsid w:val="00EB3EEE"/>
    <w:rsid w:val="00EB647A"/>
    <w:rsid w:val="00EB733D"/>
    <w:rsid w:val="00EB786A"/>
    <w:rsid w:val="00EC1578"/>
    <w:rsid w:val="00EC1C72"/>
    <w:rsid w:val="00EC33D9"/>
    <w:rsid w:val="00EC3CAB"/>
    <w:rsid w:val="00EC3CC9"/>
    <w:rsid w:val="00EC4DCB"/>
    <w:rsid w:val="00EC680A"/>
    <w:rsid w:val="00EC690C"/>
    <w:rsid w:val="00EC725B"/>
    <w:rsid w:val="00EC73D1"/>
    <w:rsid w:val="00EC7D47"/>
    <w:rsid w:val="00EC7E0C"/>
    <w:rsid w:val="00EC7EFA"/>
    <w:rsid w:val="00ED0D0E"/>
    <w:rsid w:val="00ED11C9"/>
    <w:rsid w:val="00ED171F"/>
    <w:rsid w:val="00ED2749"/>
    <w:rsid w:val="00ED2C0C"/>
    <w:rsid w:val="00ED35B4"/>
    <w:rsid w:val="00ED65AD"/>
    <w:rsid w:val="00EE14CB"/>
    <w:rsid w:val="00EE2BED"/>
    <w:rsid w:val="00EE374B"/>
    <w:rsid w:val="00EE7AB0"/>
    <w:rsid w:val="00EF0D0F"/>
    <w:rsid w:val="00EF224D"/>
    <w:rsid w:val="00EF267C"/>
    <w:rsid w:val="00EF41F2"/>
    <w:rsid w:val="00EF64C9"/>
    <w:rsid w:val="00F0249D"/>
    <w:rsid w:val="00F03D0B"/>
    <w:rsid w:val="00F03D53"/>
    <w:rsid w:val="00F05DA3"/>
    <w:rsid w:val="00F06EDB"/>
    <w:rsid w:val="00F06FF1"/>
    <w:rsid w:val="00F07703"/>
    <w:rsid w:val="00F07B2E"/>
    <w:rsid w:val="00F07BD7"/>
    <w:rsid w:val="00F07CE6"/>
    <w:rsid w:val="00F11BB5"/>
    <w:rsid w:val="00F13C2D"/>
    <w:rsid w:val="00F1417B"/>
    <w:rsid w:val="00F15107"/>
    <w:rsid w:val="00F1598E"/>
    <w:rsid w:val="00F165CF"/>
    <w:rsid w:val="00F16DA2"/>
    <w:rsid w:val="00F22D45"/>
    <w:rsid w:val="00F245C0"/>
    <w:rsid w:val="00F253F8"/>
    <w:rsid w:val="00F255AE"/>
    <w:rsid w:val="00F27E15"/>
    <w:rsid w:val="00F32A85"/>
    <w:rsid w:val="00F33D51"/>
    <w:rsid w:val="00F34B99"/>
    <w:rsid w:val="00F34EFB"/>
    <w:rsid w:val="00F3719C"/>
    <w:rsid w:val="00F40E82"/>
    <w:rsid w:val="00F45584"/>
    <w:rsid w:val="00F460A7"/>
    <w:rsid w:val="00F461B3"/>
    <w:rsid w:val="00F466B5"/>
    <w:rsid w:val="00F476C7"/>
    <w:rsid w:val="00F47F17"/>
    <w:rsid w:val="00F52DAB"/>
    <w:rsid w:val="00F543F0"/>
    <w:rsid w:val="00F55116"/>
    <w:rsid w:val="00F57760"/>
    <w:rsid w:val="00F60246"/>
    <w:rsid w:val="00F60416"/>
    <w:rsid w:val="00F60ACF"/>
    <w:rsid w:val="00F60BE7"/>
    <w:rsid w:val="00F613F5"/>
    <w:rsid w:val="00F61BA5"/>
    <w:rsid w:val="00F61C60"/>
    <w:rsid w:val="00F6477A"/>
    <w:rsid w:val="00F64A16"/>
    <w:rsid w:val="00F64D9A"/>
    <w:rsid w:val="00F65A6A"/>
    <w:rsid w:val="00F65EE0"/>
    <w:rsid w:val="00F6727B"/>
    <w:rsid w:val="00F67F43"/>
    <w:rsid w:val="00F73657"/>
    <w:rsid w:val="00F73BD4"/>
    <w:rsid w:val="00F7437F"/>
    <w:rsid w:val="00F811A2"/>
    <w:rsid w:val="00F81B58"/>
    <w:rsid w:val="00F81D29"/>
    <w:rsid w:val="00F841DD"/>
    <w:rsid w:val="00F867CE"/>
    <w:rsid w:val="00F877B0"/>
    <w:rsid w:val="00F9097E"/>
    <w:rsid w:val="00F91C4D"/>
    <w:rsid w:val="00F92FD9"/>
    <w:rsid w:val="00F9378C"/>
    <w:rsid w:val="00F95CEE"/>
    <w:rsid w:val="00F972DB"/>
    <w:rsid w:val="00F97FED"/>
    <w:rsid w:val="00FA0AF3"/>
    <w:rsid w:val="00FA10F7"/>
    <w:rsid w:val="00FA4858"/>
    <w:rsid w:val="00FA4A3B"/>
    <w:rsid w:val="00FA4F26"/>
    <w:rsid w:val="00FA549A"/>
    <w:rsid w:val="00FA6684"/>
    <w:rsid w:val="00FA6B2F"/>
    <w:rsid w:val="00FA731E"/>
    <w:rsid w:val="00FA7DAA"/>
    <w:rsid w:val="00FB0C96"/>
    <w:rsid w:val="00FB2B38"/>
    <w:rsid w:val="00FB2FDB"/>
    <w:rsid w:val="00FB3430"/>
    <w:rsid w:val="00FB47FE"/>
    <w:rsid w:val="00FC01AB"/>
    <w:rsid w:val="00FC0BFB"/>
    <w:rsid w:val="00FC21F3"/>
    <w:rsid w:val="00FC2C1D"/>
    <w:rsid w:val="00FC5DEC"/>
    <w:rsid w:val="00FC6358"/>
    <w:rsid w:val="00FC6781"/>
    <w:rsid w:val="00FD1D50"/>
    <w:rsid w:val="00FD20B6"/>
    <w:rsid w:val="00FD320D"/>
    <w:rsid w:val="00FD4A8B"/>
    <w:rsid w:val="00FD56AF"/>
    <w:rsid w:val="00FE23DE"/>
    <w:rsid w:val="00FE306C"/>
    <w:rsid w:val="00FE43B7"/>
    <w:rsid w:val="00FE4E91"/>
    <w:rsid w:val="00FE534D"/>
    <w:rsid w:val="00FE5BBF"/>
    <w:rsid w:val="00FE7B4B"/>
    <w:rsid w:val="00FF0A2C"/>
    <w:rsid w:val="00FF36DA"/>
    <w:rsid w:val="00FF3F61"/>
    <w:rsid w:val="00FF5817"/>
    <w:rsid w:val="014A2DD9"/>
    <w:rsid w:val="01514167"/>
    <w:rsid w:val="015A2B22"/>
    <w:rsid w:val="018C519F"/>
    <w:rsid w:val="028F7330"/>
    <w:rsid w:val="03C2759E"/>
    <w:rsid w:val="04387860"/>
    <w:rsid w:val="04643E49"/>
    <w:rsid w:val="05066B4B"/>
    <w:rsid w:val="05FE4FCF"/>
    <w:rsid w:val="064C59D8"/>
    <w:rsid w:val="065344DE"/>
    <w:rsid w:val="07140111"/>
    <w:rsid w:val="08962DA7"/>
    <w:rsid w:val="09EC6A61"/>
    <w:rsid w:val="0C2B742C"/>
    <w:rsid w:val="0C705128"/>
    <w:rsid w:val="0D2B56E9"/>
    <w:rsid w:val="0E4D215A"/>
    <w:rsid w:val="0E6878F1"/>
    <w:rsid w:val="0F16348C"/>
    <w:rsid w:val="104B091B"/>
    <w:rsid w:val="105B53E4"/>
    <w:rsid w:val="110805BA"/>
    <w:rsid w:val="118B7221"/>
    <w:rsid w:val="12072620"/>
    <w:rsid w:val="1393180A"/>
    <w:rsid w:val="14085E88"/>
    <w:rsid w:val="148368D6"/>
    <w:rsid w:val="16B0772A"/>
    <w:rsid w:val="188F0B4A"/>
    <w:rsid w:val="18F953B8"/>
    <w:rsid w:val="19406183"/>
    <w:rsid w:val="19CC6629"/>
    <w:rsid w:val="1A4B3B56"/>
    <w:rsid w:val="1EE2244B"/>
    <w:rsid w:val="20CC6F0F"/>
    <w:rsid w:val="22396826"/>
    <w:rsid w:val="23163ED6"/>
    <w:rsid w:val="237044C9"/>
    <w:rsid w:val="23AF1897"/>
    <w:rsid w:val="24101808"/>
    <w:rsid w:val="24111222"/>
    <w:rsid w:val="241430A6"/>
    <w:rsid w:val="24DE36B4"/>
    <w:rsid w:val="264F6618"/>
    <w:rsid w:val="26541E80"/>
    <w:rsid w:val="26E56F7C"/>
    <w:rsid w:val="27C57EE0"/>
    <w:rsid w:val="28C50E13"/>
    <w:rsid w:val="28E72E42"/>
    <w:rsid w:val="2998029F"/>
    <w:rsid w:val="29CF131B"/>
    <w:rsid w:val="2C513B81"/>
    <w:rsid w:val="2D1E6D44"/>
    <w:rsid w:val="2D7C3A6A"/>
    <w:rsid w:val="2DCC49F2"/>
    <w:rsid w:val="2EEB534C"/>
    <w:rsid w:val="2F3445FD"/>
    <w:rsid w:val="30E92D4B"/>
    <w:rsid w:val="31626809"/>
    <w:rsid w:val="31AD0696"/>
    <w:rsid w:val="33FE065D"/>
    <w:rsid w:val="34C06587"/>
    <w:rsid w:val="35784778"/>
    <w:rsid w:val="365B2DB7"/>
    <w:rsid w:val="3754131D"/>
    <w:rsid w:val="37B409D1"/>
    <w:rsid w:val="3CB925E5"/>
    <w:rsid w:val="3D127F47"/>
    <w:rsid w:val="3D2A703F"/>
    <w:rsid w:val="3DB334D8"/>
    <w:rsid w:val="3E1F46CA"/>
    <w:rsid w:val="3E990920"/>
    <w:rsid w:val="3EA76D60"/>
    <w:rsid w:val="3EA82911"/>
    <w:rsid w:val="3F2006FA"/>
    <w:rsid w:val="40F844F6"/>
    <w:rsid w:val="416100B8"/>
    <w:rsid w:val="42A04B03"/>
    <w:rsid w:val="42BA2C13"/>
    <w:rsid w:val="42FD0A91"/>
    <w:rsid w:val="437C5721"/>
    <w:rsid w:val="43AF029E"/>
    <w:rsid w:val="4574179F"/>
    <w:rsid w:val="479F6DB4"/>
    <w:rsid w:val="48DA400F"/>
    <w:rsid w:val="48E00EFA"/>
    <w:rsid w:val="491A265E"/>
    <w:rsid w:val="49804BB7"/>
    <w:rsid w:val="4D510618"/>
    <w:rsid w:val="4D8A088C"/>
    <w:rsid w:val="4E01203E"/>
    <w:rsid w:val="4E092CA1"/>
    <w:rsid w:val="4E9E77F7"/>
    <w:rsid w:val="4F2064F4"/>
    <w:rsid w:val="4FB76E58"/>
    <w:rsid w:val="50792360"/>
    <w:rsid w:val="54257D86"/>
    <w:rsid w:val="54455CD4"/>
    <w:rsid w:val="552F56E3"/>
    <w:rsid w:val="573B036F"/>
    <w:rsid w:val="574865E8"/>
    <w:rsid w:val="57541431"/>
    <w:rsid w:val="589A2E73"/>
    <w:rsid w:val="59C7757C"/>
    <w:rsid w:val="5A6D75B6"/>
    <w:rsid w:val="5B4C1CC2"/>
    <w:rsid w:val="5B7065B7"/>
    <w:rsid w:val="5C99060D"/>
    <w:rsid w:val="5D7922C1"/>
    <w:rsid w:val="5DE66B5A"/>
    <w:rsid w:val="5DF64FF0"/>
    <w:rsid w:val="5E666633"/>
    <w:rsid w:val="5F7408C2"/>
    <w:rsid w:val="5FAF36A8"/>
    <w:rsid w:val="60EE0200"/>
    <w:rsid w:val="61463189"/>
    <w:rsid w:val="61AF2F50"/>
    <w:rsid w:val="629D608C"/>
    <w:rsid w:val="62BF00A6"/>
    <w:rsid w:val="62CE1116"/>
    <w:rsid w:val="64B17EC2"/>
    <w:rsid w:val="65FB3538"/>
    <w:rsid w:val="6703077D"/>
    <w:rsid w:val="679B7441"/>
    <w:rsid w:val="686F60CA"/>
    <w:rsid w:val="69CC30A8"/>
    <w:rsid w:val="69D56C1D"/>
    <w:rsid w:val="6A2B7DCF"/>
    <w:rsid w:val="6C553829"/>
    <w:rsid w:val="6C6E48EB"/>
    <w:rsid w:val="6EED7D49"/>
    <w:rsid w:val="705F6A24"/>
    <w:rsid w:val="70DE203F"/>
    <w:rsid w:val="711C2B67"/>
    <w:rsid w:val="71B96608"/>
    <w:rsid w:val="735C549D"/>
    <w:rsid w:val="746C5BB4"/>
    <w:rsid w:val="760A7432"/>
    <w:rsid w:val="760E2DBB"/>
    <w:rsid w:val="76175F8E"/>
    <w:rsid w:val="765863F0"/>
    <w:rsid w:val="77E3618D"/>
    <w:rsid w:val="77FB50A5"/>
    <w:rsid w:val="78A551F0"/>
    <w:rsid w:val="79425135"/>
    <w:rsid w:val="7ABA15EF"/>
    <w:rsid w:val="7C2E1CCB"/>
    <w:rsid w:val="7C6D4277"/>
    <w:rsid w:val="7D8E6B9B"/>
    <w:rsid w:val="7EBC7738"/>
    <w:rsid w:val="7F1E5CFC"/>
    <w:rsid w:val="7F4339B5"/>
    <w:rsid w:val="7F45772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link w:val="43"/>
    <w:qFormat/>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36">
    <w:name w:val="Default Paragraph Font"/>
    <w:semiHidden/>
    <w:qFormat/>
    <w:uiPriority w:val="0"/>
  </w:style>
  <w:style w:type="table" w:default="1" w:styleId="34">
    <w:name w:val="Normal Table"/>
    <w:semiHidden/>
    <w:qFormat/>
    <w:uiPriority w:val="0"/>
    <w:tblPr>
      <w:tblCellMar>
        <w:top w:w="0" w:type="dxa"/>
        <w:left w:w="108" w:type="dxa"/>
        <w:bottom w:w="0" w:type="dxa"/>
        <w:right w:w="108" w:type="dxa"/>
      </w:tblCellMar>
    </w:tblPr>
  </w:style>
  <w:style w:type="paragraph" w:styleId="3">
    <w:name w:val="toc 7"/>
    <w:basedOn w:val="1"/>
    <w:next w:val="1"/>
    <w:semiHidden/>
    <w:qFormat/>
    <w:uiPriority w:val="0"/>
    <w:pPr>
      <w:tabs>
        <w:tab w:val="right" w:leader="dot" w:pos="9241"/>
      </w:tabs>
      <w:ind w:firstLine="500" w:firstLineChars="500"/>
      <w:jc w:val="left"/>
    </w:pPr>
    <w:rPr>
      <w:rFonts w:ascii="宋体"/>
      <w:szCs w:val="21"/>
    </w:rPr>
  </w:style>
  <w:style w:type="paragraph" w:styleId="4">
    <w:name w:val="index 8"/>
    <w:basedOn w:val="1"/>
    <w:next w:val="1"/>
    <w:qFormat/>
    <w:uiPriority w:val="0"/>
    <w:pPr>
      <w:ind w:left="1680" w:hanging="210"/>
      <w:jc w:val="left"/>
    </w:pPr>
    <w:rPr>
      <w:rFonts w:ascii="Calibri" w:hAnsi="Calibri"/>
      <w:sz w:val="20"/>
      <w:szCs w:val="20"/>
    </w:rPr>
  </w:style>
  <w:style w:type="paragraph" w:styleId="5">
    <w:name w:val="caption"/>
    <w:basedOn w:val="1"/>
    <w:next w:val="1"/>
    <w:qFormat/>
    <w:uiPriority w:val="0"/>
    <w:pPr>
      <w:spacing w:before="152" w:after="160"/>
    </w:pPr>
    <w:rPr>
      <w:rFonts w:ascii="Arial" w:hAnsi="Arial" w:eastAsia="黑体" w:cs="Arial"/>
      <w:sz w:val="20"/>
      <w:szCs w:val="20"/>
    </w:rPr>
  </w:style>
  <w:style w:type="paragraph" w:styleId="6">
    <w:name w:val="index 5"/>
    <w:basedOn w:val="1"/>
    <w:next w:val="1"/>
    <w:qFormat/>
    <w:uiPriority w:val="0"/>
    <w:pPr>
      <w:ind w:left="1050" w:hanging="210"/>
      <w:jc w:val="left"/>
    </w:pPr>
    <w:rPr>
      <w:rFonts w:ascii="Calibri" w:hAnsi="Calibri"/>
      <w:sz w:val="20"/>
      <w:szCs w:val="20"/>
    </w:rPr>
  </w:style>
  <w:style w:type="paragraph" w:styleId="7">
    <w:name w:val="Document Map"/>
    <w:basedOn w:val="1"/>
    <w:semiHidden/>
    <w:qFormat/>
    <w:uiPriority w:val="0"/>
    <w:pPr>
      <w:shd w:val="clear" w:color="auto" w:fill="000080"/>
    </w:pPr>
  </w:style>
  <w:style w:type="paragraph" w:styleId="8">
    <w:name w:val="annotation text"/>
    <w:basedOn w:val="1"/>
    <w:qFormat/>
    <w:uiPriority w:val="0"/>
    <w:pPr>
      <w:jc w:val="left"/>
    </w:pPr>
  </w:style>
  <w:style w:type="paragraph" w:styleId="9">
    <w:name w:val="index 6"/>
    <w:basedOn w:val="1"/>
    <w:next w:val="1"/>
    <w:qFormat/>
    <w:uiPriority w:val="0"/>
    <w:pPr>
      <w:ind w:left="1260" w:hanging="210"/>
      <w:jc w:val="left"/>
    </w:pPr>
    <w:rPr>
      <w:rFonts w:ascii="Calibri" w:hAnsi="Calibri"/>
      <w:sz w:val="20"/>
      <w:szCs w:val="20"/>
    </w:rPr>
  </w:style>
  <w:style w:type="paragraph" w:styleId="10">
    <w:name w:val="index 4"/>
    <w:basedOn w:val="1"/>
    <w:next w:val="1"/>
    <w:qFormat/>
    <w:uiPriority w:val="0"/>
    <w:pPr>
      <w:ind w:left="840" w:hanging="210"/>
      <w:jc w:val="left"/>
    </w:pPr>
    <w:rPr>
      <w:rFonts w:ascii="Calibri" w:hAnsi="Calibri"/>
      <w:sz w:val="20"/>
      <w:szCs w:val="20"/>
    </w:rPr>
  </w:style>
  <w:style w:type="paragraph" w:styleId="11">
    <w:name w:val="toc 5"/>
    <w:basedOn w:val="1"/>
    <w:next w:val="1"/>
    <w:semiHidden/>
    <w:qFormat/>
    <w:uiPriority w:val="0"/>
    <w:pPr>
      <w:tabs>
        <w:tab w:val="right" w:leader="dot" w:pos="9241"/>
      </w:tabs>
      <w:ind w:firstLine="300" w:firstLineChars="300"/>
      <w:jc w:val="left"/>
    </w:pPr>
    <w:rPr>
      <w:rFonts w:ascii="宋体"/>
      <w:szCs w:val="21"/>
    </w:rPr>
  </w:style>
  <w:style w:type="paragraph" w:styleId="12">
    <w:name w:val="toc 3"/>
    <w:basedOn w:val="1"/>
    <w:next w:val="1"/>
    <w:semiHidden/>
    <w:qFormat/>
    <w:uiPriority w:val="0"/>
    <w:pPr>
      <w:tabs>
        <w:tab w:val="right" w:leader="dot" w:pos="9241"/>
      </w:tabs>
      <w:ind w:firstLine="100" w:firstLineChars="100"/>
      <w:jc w:val="left"/>
    </w:pPr>
    <w:rPr>
      <w:rFonts w:ascii="宋体"/>
      <w:szCs w:val="21"/>
    </w:rPr>
  </w:style>
  <w:style w:type="paragraph" w:styleId="13">
    <w:name w:val="Plain Text"/>
    <w:basedOn w:val="1"/>
    <w:link w:val="44"/>
    <w:qFormat/>
    <w:uiPriority w:val="0"/>
    <w:pPr>
      <w:ind w:firstLine="420"/>
    </w:pPr>
    <w:rPr>
      <w:rFonts w:ascii="宋体" w:hAnsi="Courier New"/>
      <w:szCs w:val="20"/>
    </w:rPr>
  </w:style>
  <w:style w:type="paragraph" w:styleId="14">
    <w:name w:val="toc 8"/>
    <w:basedOn w:val="1"/>
    <w:next w:val="1"/>
    <w:semiHidden/>
    <w:qFormat/>
    <w:uiPriority w:val="0"/>
    <w:pPr>
      <w:tabs>
        <w:tab w:val="right" w:leader="dot" w:pos="9241"/>
      </w:tabs>
      <w:ind w:firstLine="607" w:firstLineChars="600"/>
      <w:jc w:val="left"/>
    </w:pPr>
    <w:rPr>
      <w:rFonts w:ascii="宋体"/>
      <w:szCs w:val="21"/>
    </w:rPr>
  </w:style>
  <w:style w:type="paragraph" w:styleId="15">
    <w:name w:val="index 3"/>
    <w:basedOn w:val="1"/>
    <w:next w:val="1"/>
    <w:qFormat/>
    <w:uiPriority w:val="0"/>
    <w:pPr>
      <w:ind w:left="630" w:hanging="210"/>
      <w:jc w:val="left"/>
    </w:pPr>
    <w:rPr>
      <w:rFonts w:ascii="Calibri" w:hAnsi="Calibri"/>
      <w:sz w:val="20"/>
      <w:szCs w:val="20"/>
    </w:rPr>
  </w:style>
  <w:style w:type="paragraph" w:styleId="16">
    <w:name w:val="Date"/>
    <w:basedOn w:val="1"/>
    <w:next w:val="1"/>
    <w:link w:val="45"/>
    <w:qFormat/>
    <w:uiPriority w:val="0"/>
    <w:pPr>
      <w:ind w:left="100" w:leftChars="2500"/>
    </w:pPr>
  </w:style>
  <w:style w:type="paragraph" w:styleId="17">
    <w:name w:val="endnote text"/>
    <w:basedOn w:val="1"/>
    <w:semiHidden/>
    <w:qFormat/>
    <w:uiPriority w:val="0"/>
    <w:pPr>
      <w:snapToGrid w:val="0"/>
      <w:jc w:val="left"/>
    </w:pPr>
  </w:style>
  <w:style w:type="paragraph" w:styleId="18">
    <w:name w:val="Balloon Text"/>
    <w:basedOn w:val="1"/>
    <w:link w:val="46"/>
    <w:qFormat/>
    <w:uiPriority w:val="0"/>
    <w:rPr>
      <w:sz w:val="18"/>
      <w:szCs w:val="18"/>
    </w:rPr>
  </w:style>
  <w:style w:type="paragraph" w:styleId="19">
    <w:name w:val="footer"/>
    <w:basedOn w:val="1"/>
    <w:link w:val="47"/>
    <w:qFormat/>
    <w:uiPriority w:val="99"/>
    <w:pPr>
      <w:snapToGrid w:val="0"/>
      <w:ind w:right="210" w:rightChars="100"/>
      <w:jc w:val="right"/>
    </w:pPr>
    <w:rPr>
      <w:sz w:val="18"/>
      <w:szCs w:val="18"/>
    </w:rPr>
  </w:style>
  <w:style w:type="paragraph" w:styleId="20">
    <w:name w:val="header"/>
    <w:basedOn w:val="1"/>
    <w:qFormat/>
    <w:uiPriority w:val="0"/>
    <w:pPr>
      <w:snapToGrid w:val="0"/>
      <w:jc w:val="left"/>
    </w:pPr>
    <w:rPr>
      <w:sz w:val="18"/>
      <w:szCs w:val="18"/>
    </w:rPr>
  </w:style>
  <w:style w:type="paragraph" w:styleId="21">
    <w:name w:val="toc 1"/>
    <w:basedOn w:val="1"/>
    <w:next w:val="1"/>
    <w:semiHidden/>
    <w:qFormat/>
    <w:uiPriority w:val="0"/>
    <w:pPr>
      <w:tabs>
        <w:tab w:val="right" w:leader="dot" w:pos="9242"/>
      </w:tabs>
      <w:spacing w:before="25" w:beforeLines="25" w:after="25" w:afterLines="25"/>
      <w:jc w:val="left"/>
    </w:pPr>
    <w:rPr>
      <w:rFonts w:ascii="宋体"/>
      <w:szCs w:val="21"/>
    </w:rPr>
  </w:style>
  <w:style w:type="paragraph" w:styleId="22">
    <w:name w:val="toc 4"/>
    <w:basedOn w:val="1"/>
    <w:next w:val="1"/>
    <w:semiHidden/>
    <w:qFormat/>
    <w:uiPriority w:val="0"/>
    <w:pPr>
      <w:tabs>
        <w:tab w:val="right" w:leader="dot" w:pos="9241"/>
      </w:tabs>
      <w:ind w:firstLine="200" w:firstLineChars="200"/>
      <w:jc w:val="left"/>
    </w:pPr>
    <w:rPr>
      <w:rFonts w:ascii="宋体"/>
      <w:szCs w:val="21"/>
    </w:rPr>
  </w:style>
  <w:style w:type="paragraph" w:styleId="23">
    <w:name w:val="index heading"/>
    <w:basedOn w:val="1"/>
    <w:next w:val="24"/>
    <w:qFormat/>
    <w:uiPriority w:val="0"/>
    <w:pPr>
      <w:spacing w:before="120" w:after="120"/>
      <w:jc w:val="center"/>
    </w:pPr>
    <w:rPr>
      <w:rFonts w:ascii="Calibri" w:hAnsi="Calibri"/>
      <w:b/>
      <w:bCs/>
      <w:iCs/>
      <w:szCs w:val="20"/>
    </w:rPr>
  </w:style>
  <w:style w:type="paragraph" w:styleId="24">
    <w:name w:val="index 1"/>
    <w:basedOn w:val="1"/>
    <w:next w:val="25"/>
    <w:qFormat/>
    <w:uiPriority w:val="0"/>
    <w:pPr>
      <w:tabs>
        <w:tab w:val="right" w:leader="dot" w:pos="9299"/>
      </w:tabs>
      <w:jc w:val="left"/>
    </w:pPr>
    <w:rPr>
      <w:rFonts w:ascii="宋体"/>
      <w:szCs w:val="21"/>
    </w:rPr>
  </w:style>
  <w:style w:type="paragraph" w:customStyle="1" w:styleId="25">
    <w:name w:val="段"/>
    <w:link w:val="48"/>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6">
    <w:name w:val="footnote text"/>
    <w:basedOn w:val="1"/>
    <w:link w:val="49"/>
    <w:qFormat/>
    <w:uiPriority w:val="0"/>
    <w:pPr>
      <w:numPr>
        <w:ilvl w:val="0"/>
        <w:numId w:val="1"/>
      </w:numPr>
      <w:snapToGrid w:val="0"/>
      <w:jc w:val="left"/>
    </w:pPr>
    <w:rPr>
      <w:rFonts w:ascii="宋体"/>
      <w:sz w:val="18"/>
      <w:szCs w:val="18"/>
    </w:rPr>
  </w:style>
  <w:style w:type="paragraph" w:styleId="27">
    <w:name w:val="toc 6"/>
    <w:basedOn w:val="1"/>
    <w:next w:val="1"/>
    <w:semiHidden/>
    <w:qFormat/>
    <w:uiPriority w:val="0"/>
    <w:pPr>
      <w:tabs>
        <w:tab w:val="right" w:leader="dot" w:pos="9241"/>
      </w:tabs>
      <w:ind w:firstLine="400" w:firstLineChars="400"/>
      <w:jc w:val="left"/>
    </w:pPr>
    <w:rPr>
      <w:rFonts w:ascii="宋体"/>
      <w:szCs w:val="21"/>
    </w:rPr>
  </w:style>
  <w:style w:type="paragraph" w:styleId="28">
    <w:name w:val="index 7"/>
    <w:basedOn w:val="1"/>
    <w:next w:val="1"/>
    <w:qFormat/>
    <w:uiPriority w:val="0"/>
    <w:pPr>
      <w:ind w:left="1470" w:hanging="210"/>
      <w:jc w:val="left"/>
    </w:pPr>
    <w:rPr>
      <w:rFonts w:ascii="Calibri" w:hAnsi="Calibri"/>
      <w:sz w:val="20"/>
      <w:szCs w:val="20"/>
    </w:rPr>
  </w:style>
  <w:style w:type="paragraph" w:styleId="29">
    <w:name w:val="index 9"/>
    <w:basedOn w:val="1"/>
    <w:next w:val="1"/>
    <w:qFormat/>
    <w:uiPriority w:val="0"/>
    <w:pPr>
      <w:ind w:left="1890" w:hanging="210"/>
      <w:jc w:val="left"/>
    </w:pPr>
    <w:rPr>
      <w:rFonts w:ascii="Calibri" w:hAnsi="Calibri"/>
      <w:sz w:val="20"/>
      <w:szCs w:val="20"/>
    </w:rPr>
  </w:style>
  <w:style w:type="paragraph" w:styleId="30">
    <w:name w:val="toc 2"/>
    <w:basedOn w:val="1"/>
    <w:next w:val="1"/>
    <w:semiHidden/>
    <w:qFormat/>
    <w:uiPriority w:val="0"/>
    <w:pPr>
      <w:tabs>
        <w:tab w:val="right" w:leader="dot" w:pos="9242"/>
      </w:tabs>
    </w:pPr>
    <w:rPr>
      <w:rFonts w:ascii="宋体"/>
      <w:szCs w:val="21"/>
    </w:rPr>
  </w:style>
  <w:style w:type="paragraph" w:styleId="31">
    <w:name w:val="toc 9"/>
    <w:basedOn w:val="1"/>
    <w:next w:val="1"/>
    <w:semiHidden/>
    <w:qFormat/>
    <w:uiPriority w:val="0"/>
    <w:pPr>
      <w:ind w:left="1470"/>
      <w:jc w:val="left"/>
    </w:pPr>
    <w:rPr>
      <w:sz w:val="20"/>
      <w:szCs w:val="20"/>
    </w:rPr>
  </w:style>
  <w:style w:type="paragraph" w:styleId="32">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33">
    <w:name w:val="index 2"/>
    <w:basedOn w:val="1"/>
    <w:next w:val="1"/>
    <w:qFormat/>
    <w:uiPriority w:val="0"/>
    <w:pPr>
      <w:ind w:left="420" w:hanging="210"/>
      <w:jc w:val="left"/>
    </w:pPr>
    <w:rPr>
      <w:rFonts w:ascii="Calibri" w:hAnsi="Calibri"/>
      <w:sz w:val="20"/>
      <w:szCs w:val="20"/>
    </w:rPr>
  </w:style>
  <w:style w:type="table" w:styleId="35">
    <w:name w:val="Table Grid"/>
    <w:basedOn w:val="34"/>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7">
    <w:name w:val="endnote reference"/>
    <w:semiHidden/>
    <w:qFormat/>
    <w:uiPriority w:val="0"/>
    <w:rPr>
      <w:vertAlign w:val="superscript"/>
    </w:rPr>
  </w:style>
  <w:style w:type="character" w:styleId="38">
    <w:name w:val="page number"/>
    <w:qFormat/>
    <w:uiPriority w:val="0"/>
    <w:rPr>
      <w:rFonts w:ascii="Times New Roman" w:hAnsi="Times New Roman" w:eastAsia="宋体"/>
      <w:sz w:val="18"/>
    </w:rPr>
  </w:style>
  <w:style w:type="character" w:styleId="39">
    <w:name w:val="FollowedHyperlink"/>
    <w:qFormat/>
    <w:uiPriority w:val="0"/>
    <w:rPr>
      <w:color w:val="800080"/>
      <w:u w:val="single"/>
    </w:rPr>
  </w:style>
  <w:style w:type="character" w:styleId="40">
    <w:name w:val="Emphasis"/>
    <w:qFormat/>
    <w:uiPriority w:val="20"/>
    <w:rPr>
      <w:i/>
      <w:iCs/>
    </w:rPr>
  </w:style>
  <w:style w:type="character" w:styleId="41">
    <w:name w:val="Hyperlink"/>
    <w:qFormat/>
    <w:uiPriority w:val="0"/>
    <w:rPr>
      <w:color w:val="0000FF"/>
      <w:spacing w:val="0"/>
      <w:w w:val="100"/>
      <w:szCs w:val="21"/>
      <w:u w:val="single"/>
    </w:rPr>
  </w:style>
  <w:style w:type="character" w:styleId="42">
    <w:name w:val="footnote reference"/>
    <w:semiHidden/>
    <w:qFormat/>
    <w:uiPriority w:val="0"/>
    <w:rPr>
      <w:vertAlign w:val="superscript"/>
    </w:rPr>
  </w:style>
  <w:style w:type="character" w:customStyle="1" w:styleId="43">
    <w:name w:val="标题 1 字符"/>
    <w:link w:val="2"/>
    <w:qFormat/>
    <w:uiPriority w:val="9"/>
    <w:rPr>
      <w:rFonts w:ascii="宋体" w:hAnsi="宋体" w:cs="宋体"/>
      <w:b/>
      <w:bCs/>
      <w:kern w:val="36"/>
      <w:sz w:val="48"/>
      <w:szCs w:val="48"/>
    </w:rPr>
  </w:style>
  <w:style w:type="character" w:customStyle="1" w:styleId="44">
    <w:name w:val="纯文本 字符"/>
    <w:link w:val="13"/>
    <w:qFormat/>
    <w:uiPriority w:val="0"/>
    <w:rPr>
      <w:rFonts w:ascii="宋体" w:hAnsi="Courier New"/>
      <w:kern w:val="2"/>
      <w:sz w:val="21"/>
    </w:rPr>
  </w:style>
  <w:style w:type="character" w:customStyle="1" w:styleId="45">
    <w:name w:val="日期 字符"/>
    <w:link w:val="16"/>
    <w:qFormat/>
    <w:uiPriority w:val="0"/>
    <w:rPr>
      <w:kern w:val="2"/>
      <w:sz w:val="21"/>
      <w:szCs w:val="24"/>
    </w:rPr>
  </w:style>
  <w:style w:type="character" w:customStyle="1" w:styleId="46">
    <w:name w:val="批注框文本 字符"/>
    <w:link w:val="18"/>
    <w:qFormat/>
    <w:uiPriority w:val="0"/>
    <w:rPr>
      <w:kern w:val="2"/>
      <w:sz w:val="18"/>
      <w:szCs w:val="18"/>
    </w:rPr>
  </w:style>
  <w:style w:type="character" w:customStyle="1" w:styleId="47">
    <w:name w:val="页脚 字符"/>
    <w:link w:val="19"/>
    <w:qFormat/>
    <w:uiPriority w:val="99"/>
    <w:rPr>
      <w:kern w:val="2"/>
      <w:sz w:val="18"/>
      <w:szCs w:val="18"/>
    </w:rPr>
  </w:style>
  <w:style w:type="character" w:customStyle="1" w:styleId="48">
    <w:name w:val="段 Char"/>
    <w:link w:val="25"/>
    <w:qFormat/>
    <w:uiPriority w:val="0"/>
    <w:rPr>
      <w:rFonts w:ascii="宋体"/>
      <w:sz w:val="21"/>
      <w:lang w:val="en-US" w:eastAsia="zh-CN" w:bidi="ar-SA"/>
    </w:rPr>
  </w:style>
  <w:style w:type="character" w:customStyle="1" w:styleId="49">
    <w:name w:val="脚注文本 字符"/>
    <w:link w:val="26"/>
    <w:qFormat/>
    <w:uiPriority w:val="0"/>
    <w:rPr>
      <w:rFonts w:ascii="宋体"/>
      <w:kern w:val="2"/>
      <w:sz w:val="18"/>
      <w:szCs w:val="18"/>
    </w:rPr>
  </w:style>
  <w:style w:type="paragraph" w:customStyle="1" w:styleId="50">
    <w:name w:val="一级条标题"/>
    <w:next w:val="25"/>
    <w:link w:val="51"/>
    <w:qFormat/>
    <w:uiPriority w:val="0"/>
    <w:pPr>
      <w:numPr>
        <w:ilvl w:val="1"/>
        <w:numId w:val="2"/>
      </w:numPr>
      <w:spacing w:before="156" w:beforeLines="50" w:after="156" w:afterLines="50"/>
      <w:ind w:left="315"/>
      <w:outlineLvl w:val="2"/>
    </w:pPr>
    <w:rPr>
      <w:rFonts w:ascii="黑体" w:hAnsi="Times New Roman" w:eastAsia="黑体" w:cs="Times New Roman"/>
      <w:sz w:val="21"/>
      <w:szCs w:val="21"/>
      <w:lang w:val="en-US" w:eastAsia="zh-CN" w:bidi="ar-SA"/>
    </w:rPr>
  </w:style>
  <w:style w:type="character" w:customStyle="1" w:styleId="51">
    <w:name w:val="一级条标题 Char"/>
    <w:link w:val="50"/>
    <w:qFormat/>
    <w:uiPriority w:val="0"/>
    <w:rPr>
      <w:rFonts w:ascii="黑体" w:eastAsia="黑体"/>
      <w:sz w:val="21"/>
      <w:szCs w:val="21"/>
    </w:rPr>
  </w:style>
  <w:style w:type="paragraph" w:customStyle="1" w:styleId="52">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53">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54">
    <w:name w:val="章标题"/>
    <w:next w:val="25"/>
    <w:qFormat/>
    <w:uiPriority w:val="0"/>
    <w:pPr>
      <w:numPr>
        <w:ilvl w:val="0"/>
        <w:numId w:val="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55">
    <w:name w:val="二级条标题"/>
    <w:basedOn w:val="50"/>
    <w:next w:val="25"/>
    <w:link w:val="56"/>
    <w:qFormat/>
    <w:uiPriority w:val="0"/>
    <w:pPr>
      <w:numPr>
        <w:ilvl w:val="2"/>
        <w:numId w:val="2"/>
      </w:numPr>
      <w:spacing w:before="50" w:after="50"/>
      <w:outlineLvl w:val="3"/>
    </w:pPr>
  </w:style>
  <w:style w:type="character" w:customStyle="1" w:styleId="56">
    <w:name w:val="二级条标题 Char"/>
    <w:link w:val="55"/>
    <w:qFormat/>
    <w:uiPriority w:val="0"/>
    <w:rPr>
      <w:rFonts w:ascii="黑体" w:eastAsia="黑体"/>
      <w:sz w:val="21"/>
      <w:szCs w:val="21"/>
    </w:rPr>
  </w:style>
  <w:style w:type="paragraph" w:customStyle="1" w:styleId="57">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58">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59">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60">
    <w:name w:val="目次、标准名称标题"/>
    <w:basedOn w:val="1"/>
    <w:next w:val="25"/>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61">
    <w:name w:val="三级条标题"/>
    <w:basedOn w:val="55"/>
    <w:next w:val="25"/>
    <w:qFormat/>
    <w:uiPriority w:val="0"/>
    <w:pPr>
      <w:numPr>
        <w:ilvl w:val="3"/>
        <w:numId w:val="2"/>
      </w:numPr>
      <w:outlineLvl w:val="4"/>
    </w:pPr>
  </w:style>
  <w:style w:type="paragraph" w:customStyle="1" w:styleId="62">
    <w:name w:val="示例"/>
    <w:next w:val="63"/>
    <w:qFormat/>
    <w:uiPriority w:val="0"/>
    <w:pPr>
      <w:widowControl w:val="0"/>
      <w:numPr>
        <w:ilvl w:val="0"/>
        <w:numId w:val="4"/>
      </w:numPr>
      <w:jc w:val="both"/>
    </w:pPr>
    <w:rPr>
      <w:rFonts w:ascii="宋体" w:hAnsi="Times New Roman" w:eastAsia="宋体" w:cs="Times New Roman"/>
      <w:sz w:val="18"/>
      <w:szCs w:val="18"/>
      <w:lang w:val="en-US" w:eastAsia="zh-CN" w:bidi="ar-SA"/>
    </w:rPr>
  </w:style>
  <w:style w:type="paragraph" w:customStyle="1" w:styleId="63">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64">
    <w:name w:val="数字编号列项（二级）"/>
    <w:qFormat/>
    <w:uiPriority w:val="0"/>
    <w:pPr>
      <w:numPr>
        <w:ilvl w:val="1"/>
        <w:numId w:val="5"/>
      </w:numPr>
      <w:jc w:val="both"/>
    </w:pPr>
    <w:rPr>
      <w:rFonts w:ascii="宋体" w:hAnsi="Times New Roman" w:eastAsia="宋体" w:cs="Times New Roman"/>
      <w:sz w:val="21"/>
      <w:lang w:val="en-US" w:eastAsia="zh-CN" w:bidi="ar-SA"/>
    </w:rPr>
  </w:style>
  <w:style w:type="paragraph" w:customStyle="1" w:styleId="65">
    <w:name w:val="四级条标题"/>
    <w:basedOn w:val="61"/>
    <w:next w:val="25"/>
    <w:qFormat/>
    <w:uiPriority w:val="0"/>
    <w:pPr>
      <w:numPr>
        <w:ilvl w:val="4"/>
        <w:numId w:val="2"/>
      </w:numPr>
      <w:outlineLvl w:val="5"/>
    </w:pPr>
  </w:style>
  <w:style w:type="paragraph" w:customStyle="1" w:styleId="66">
    <w:name w:val="五级条标题"/>
    <w:basedOn w:val="65"/>
    <w:next w:val="25"/>
    <w:qFormat/>
    <w:uiPriority w:val="0"/>
    <w:pPr>
      <w:numPr>
        <w:ilvl w:val="5"/>
        <w:numId w:val="2"/>
      </w:numPr>
      <w:outlineLvl w:val="6"/>
    </w:pPr>
  </w:style>
  <w:style w:type="paragraph" w:customStyle="1" w:styleId="67">
    <w:name w:val="注："/>
    <w:next w:val="25"/>
    <w:qFormat/>
    <w:uiPriority w:val="0"/>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68">
    <w:name w:val="注×："/>
    <w:qFormat/>
    <w:uiPriority w:val="0"/>
    <w:pPr>
      <w:widowControl w:val="0"/>
      <w:numPr>
        <w:ilvl w:val="0"/>
        <w:numId w:val="7"/>
      </w:numPr>
      <w:autoSpaceDE w:val="0"/>
      <w:autoSpaceDN w:val="0"/>
      <w:jc w:val="both"/>
    </w:pPr>
    <w:rPr>
      <w:rFonts w:ascii="宋体" w:hAnsi="Times New Roman" w:eastAsia="宋体" w:cs="Times New Roman"/>
      <w:sz w:val="18"/>
      <w:szCs w:val="18"/>
      <w:lang w:val="en-US" w:eastAsia="zh-CN" w:bidi="ar-SA"/>
    </w:rPr>
  </w:style>
  <w:style w:type="paragraph" w:customStyle="1" w:styleId="69">
    <w:name w:val="字母编号列项（一级）"/>
    <w:qFormat/>
    <w:uiPriority w:val="0"/>
    <w:pPr>
      <w:numPr>
        <w:ilvl w:val="0"/>
        <w:numId w:val="5"/>
      </w:numPr>
      <w:jc w:val="both"/>
    </w:pPr>
    <w:rPr>
      <w:rFonts w:ascii="宋体" w:hAnsi="Times New Roman" w:eastAsia="宋体" w:cs="Times New Roman"/>
      <w:sz w:val="21"/>
      <w:lang w:val="en-US" w:eastAsia="zh-CN" w:bidi="ar-SA"/>
    </w:rPr>
  </w:style>
  <w:style w:type="paragraph" w:customStyle="1" w:styleId="70">
    <w:name w:val="列项◆（三级）"/>
    <w:basedOn w:val="1"/>
    <w:qFormat/>
    <w:uiPriority w:val="0"/>
    <w:pPr>
      <w:numPr>
        <w:ilvl w:val="2"/>
        <w:numId w:val="3"/>
      </w:numPr>
    </w:pPr>
    <w:rPr>
      <w:rFonts w:ascii="宋体"/>
      <w:szCs w:val="21"/>
    </w:rPr>
  </w:style>
  <w:style w:type="paragraph" w:customStyle="1" w:styleId="71">
    <w:name w:val="编号列项（三级）"/>
    <w:qFormat/>
    <w:uiPriority w:val="0"/>
    <w:pPr>
      <w:numPr>
        <w:ilvl w:val="2"/>
        <w:numId w:val="5"/>
      </w:numPr>
    </w:pPr>
    <w:rPr>
      <w:rFonts w:ascii="宋体" w:hAnsi="Times New Roman" w:eastAsia="宋体" w:cs="Times New Roman"/>
      <w:sz w:val="21"/>
      <w:lang w:val="en-US" w:eastAsia="zh-CN" w:bidi="ar-SA"/>
    </w:rPr>
  </w:style>
  <w:style w:type="paragraph" w:customStyle="1" w:styleId="72">
    <w:name w:val="示例×："/>
    <w:basedOn w:val="54"/>
    <w:qFormat/>
    <w:uiPriority w:val="0"/>
    <w:pPr>
      <w:numPr>
        <w:ilvl w:val="0"/>
        <w:numId w:val="8"/>
      </w:numPr>
      <w:spacing w:before="0" w:beforeLines="0" w:after="0" w:afterLines="0"/>
      <w:outlineLvl w:val="9"/>
    </w:pPr>
    <w:rPr>
      <w:rFonts w:ascii="宋体" w:eastAsia="宋体"/>
      <w:sz w:val="18"/>
      <w:szCs w:val="18"/>
    </w:rPr>
  </w:style>
  <w:style w:type="paragraph" w:customStyle="1" w:styleId="73">
    <w:name w:val="二级无"/>
    <w:basedOn w:val="55"/>
    <w:qFormat/>
    <w:uiPriority w:val="0"/>
    <w:pPr>
      <w:spacing w:before="0" w:beforeLines="0" w:after="0" w:afterLines="0"/>
    </w:pPr>
    <w:rPr>
      <w:rFonts w:ascii="宋体" w:eastAsia="宋体"/>
    </w:rPr>
  </w:style>
  <w:style w:type="paragraph" w:customStyle="1" w:styleId="74">
    <w:name w:val="注：（正文）"/>
    <w:basedOn w:val="67"/>
    <w:next w:val="25"/>
    <w:qFormat/>
    <w:uiPriority w:val="0"/>
  </w:style>
  <w:style w:type="paragraph" w:customStyle="1" w:styleId="75">
    <w:name w:val="注×：（正文）"/>
    <w:qFormat/>
    <w:uiPriority w:val="0"/>
    <w:pPr>
      <w:numPr>
        <w:ilvl w:val="0"/>
        <w:numId w:val="9"/>
      </w:numPr>
      <w:jc w:val="both"/>
    </w:pPr>
    <w:rPr>
      <w:rFonts w:ascii="宋体" w:hAnsi="Times New Roman" w:eastAsia="宋体" w:cs="Times New Roman"/>
      <w:sz w:val="18"/>
      <w:szCs w:val="18"/>
      <w:lang w:val="en-US" w:eastAsia="zh-CN" w:bidi="ar-SA"/>
    </w:rPr>
  </w:style>
  <w:style w:type="paragraph" w:customStyle="1" w:styleId="76">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77">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78">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79">
    <w:name w:val="标准书眉_偶数页"/>
    <w:basedOn w:val="53"/>
    <w:next w:val="1"/>
    <w:qFormat/>
    <w:uiPriority w:val="0"/>
    <w:pPr>
      <w:jc w:val="left"/>
    </w:pPr>
    <w:rPr>
      <w:rFonts w:ascii="黑体" w:eastAsia="黑体"/>
    </w:rPr>
  </w:style>
  <w:style w:type="paragraph" w:customStyle="1" w:styleId="80">
    <w:name w:val="标准书眉一"/>
    <w:qFormat/>
    <w:uiPriority w:val="0"/>
    <w:pPr>
      <w:jc w:val="both"/>
    </w:pPr>
    <w:rPr>
      <w:rFonts w:ascii="Times New Roman" w:hAnsi="Times New Roman" w:eastAsia="宋体" w:cs="Times New Roman"/>
      <w:lang w:val="en-US" w:eastAsia="zh-CN" w:bidi="ar-SA"/>
    </w:rPr>
  </w:style>
  <w:style w:type="paragraph" w:customStyle="1" w:styleId="81">
    <w:name w:val="参考文献"/>
    <w:basedOn w:val="1"/>
    <w:next w:val="2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82">
    <w:name w:val="参考文献、索引标题"/>
    <w:basedOn w:val="1"/>
    <w:next w:val="25"/>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83">
    <w:name w:val="发布"/>
    <w:qFormat/>
    <w:uiPriority w:val="0"/>
    <w:rPr>
      <w:rFonts w:ascii="黑体" w:eastAsia="黑体"/>
      <w:spacing w:val="85"/>
      <w:w w:val="100"/>
      <w:position w:val="3"/>
      <w:sz w:val="28"/>
      <w:szCs w:val="28"/>
    </w:rPr>
  </w:style>
  <w:style w:type="paragraph" w:customStyle="1" w:styleId="84">
    <w:name w:val="发布部门"/>
    <w:next w:val="25"/>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85">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86">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87">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88">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89">
    <w:name w:val="封面标准英文名称"/>
    <w:basedOn w:val="88"/>
    <w:qFormat/>
    <w:uiPriority w:val="0"/>
    <w:pPr>
      <w:spacing w:before="370" w:line="400" w:lineRule="exact"/>
    </w:pPr>
    <w:rPr>
      <w:rFonts w:ascii="Times New Roman"/>
      <w:sz w:val="28"/>
      <w:szCs w:val="28"/>
    </w:rPr>
  </w:style>
  <w:style w:type="paragraph" w:customStyle="1" w:styleId="90">
    <w:name w:val="封面一致性程度标识"/>
    <w:basedOn w:val="89"/>
    <w:qFormat/>
    <w:uiPriority w:val="0"/>
    <w:pPr>
      <w:spacing w:before="440"/>
    </w:pPr>
    <w:rPr>
      <w:rFonts w:ascii="宋体" w:eastAsia="宋体"/>
    </w:rPr>
  </w:style>
  <w:style w:type="paragraph" w:customStyle="1" w:styleId="91">
    <w:name w:val="封面标准文稿类别"/>
    <w:basedOn w:val="90"/>
    <w:qFormat/>
    <w:uiPriority w:val="0"/>
    <w:pPr>
      <w:spacing w:after="160" w:line="240" w:lineRule="auto"/>
    </w:pPr>
    <w:rPr>
      <w:sz w:val="24"/>
    </w:rPr>
  </w:style>
  <w:style w:type="paragraph" w:customStyle="1" w:styleId="92">
    <w:name w:val="封面标准文稿编辑信息"/>
    <w:basedOn w:val="91"/>
    <w:qFormat/>
    <w:uiPriority w:val="0"/>
    <w:pPr>
      <w:spacing w:before="180" w:line="180" w:lineRule="exact"/>
    </w:pPr>
    <w:rPr>
      <w:sz w:val="21"/>
    </w:rPr>
  </w:style>
  <w:style w:type="paragraph" w:customStyle="1" w:styleId="93">
    <w:name w:val="封面正文"/>
    <w:qFormat/>
    <w:uiPriority w:val="0"/>
    <w:pPr>
      <w:jc w:val="both"/>
    </w:pPr>
    <w:rPr>
      <w:rFonts w:ascii="Times New Roman" w:hAnsi="Times New Roman" w:eastAsia="宋体" w:cs="Times New Roman"/>
      <w:lang w:val="en-US" w:eastAsia="zh-CN" w:bidi="ar-SA"/>
    </w:rPr>
  </w:style>
  <w:style w:type="paragraph" w:customStyle="1" w:styleId="94">
    <w:name w:val="附录标识"/>
    <w:basedOn w:val="1"/>
    <w:next w:val="25"/>
    <w:qFormat/>
    <w:uiPriority w:val="0"/>
    <w:pPr>
      <w:keepNext/>
      <w:widowControl/>
      <w:numPr>
        <w:ilvl w:val="0"/>
        <w:numId w:val="10"/>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95">
    <w:name w:val="附录标题"/>
    <w:basedOn w:val="25"/>
    <w:next w:val="25"/>
    <w:qFormat/>
    <w:uiPriority w:val="0"/>
    <w:pPr>
      <w:ind w:firstLine="0" w:firstLineChars="0"/>
      <w:jc w:val="center"/>
    </w:pPr>
    <w:rPr>
      <w:rFonts w:ascii="黑体" w:eastAsia="黑体"/>
    </w:rPr>
  </w:style>
  <w:style w:type="paragraph" w:customStyle="1" w:styleId="96">
    <w:name w:val="附录表标号"/>
    <w:basedOn w:val="1"/>
    <w:next w:val="25"/>
    <w:qFormat/>
    <w:uiPriority w:val="0"/>
    <w:pPr>
      <w:numPr>
        <w:ilvl w:val="0"/>
        <w:numId w:val="11"/>
      </w:numPr>
      <w:tabs>
        <w:tab w:val="clear" w:pos="0"/>
      </w:tabs>
      <w:spacing w:line="14" w:lineRule="exact"/>
      <w:ind w:left="811" w:hanging="448"/>
      <w:jc w:val="center"/>
      <w:outlineLvl w:val="0"/>
    </w:pPr>
    <w:rPr>
      <w:color w:val="FFFFFF"/>
    </w:rPr>
  </w:style>
  <w:style w:type="paragraph" w:customStyle="1" w:styleId="97">
    <w:name w:val="附录表标题"/>
    <w:basedOn w:val="1"/>
    <w:next w:val="25"/>
    <w:qFormat/>
    <w:uiPriority w:val="0"/>
    <w:pPr>
      <w:numPr>
        <w:ilvl w:val="1"/>
        <w:numId w:val="11"/>
      </w:numPr>
      <w:tabs>
        <w:tab w:val="left" w:pos="180"/>
      </w:tabs>
      <w:spacing w:before="50" w:beforeLines="50" w:after="50" w:afterLines="50"/>
      <w:ind w:left="0" w:firstLine="0"/>
      <w:jc w:val="center"/>
    </w:pPr>
    <w:rPr>
      <w:rFonts w:ascii="黑体" w:eastAsia="黑体"/>
      <w:szCs w:val="21"/>
    </w:rPr>
  </w:style>
  <w:style w:type="paragraph" w:customStyle="1" w:styleId="98">
    <w:name w:val="附录二级条标题"/>
    <w:basedOn w:val="1"/>
    <w:next w:val="25"/>
    <w:qFormat/>
    <w:uiPriority w:val="0"/>
    <w:pPr>
      <w:widowControl/>
      <w:numPr>
        <w:ilvl w:val="3"/>
        <w:numId w:val="10"/>
      </w:numPr>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99">
    <w:name w:val="附录二级无"/>
    <w:basedOn w:val="98"/>
    <w:qFormat/>
    <w:uiPriority w:val="0"/>
    <w:pPr>
      <w:tabs>
        <w:tab w:val="clear" w:pos="360"/>
      </w:tabs>
      <w:spacing w:before="0" w:beforeLines="0" w:after="0" w:afterLines="0"/>
    </w:pPr>
    <w:rPr>
      <w:rFonts w:ascii="宋体" w:eastAsia="宋体"/>
      <w:szCs w:val="21"/>
    </w:rPr>
  </w:style>
  <w:style w:type="paragraph" w:customStyle="1" w:styleId="100">
    <w:name w:val="附录公式"/>
    <w:basedOn w:val="25"/>
    <w:next w:val="25"/>
    <w:link w:val="101"/>
    <w:qFormat/>
    <w:uiPriority w:val="0"/>
  </w:style>
  <w:style w:type="character" w:customStyle="1" w:styleId="101">
    <w:name w:val="附录公式 Char"/>
    <w:link w:val="100"/>
    <w:qFormat/>
    <w:uiPriority w:val="0"/>
    <w:rPr>
      <w:lang w:val="en-US" w:eastAsia="zh-CN" w:bidi="ar-SA"/>
    </w:rPr>
  </w:style>
  <w:style w:type="paragraph" w:customStyle="1" w:styleId="102">
    <w:name w:val="附录公式编号制表符"/>
    <w:basedOn w:val="1"/>
    <w:next w:val="25"/>
    <w:qFormat/>
    <w:uiPriority w:val="0"/>
    <w:pPr>
      <w:widowControl/>
      <w:tabs>
        <w:tab w:val="center" w:pos="4201"/>
        <w:tab w:val="right" w:leader="dot" w:pos="9298"/>
      </w:tabs>
      <w:autoSpaceDE w:val="0"/>
      <w:autoSpaceDN w:val="0"/>
    </w:pPr>
    <w:rPr>
      <w:rFonts w:ascii="宋体"/>
      <w:kern w:val="0"/>
      <w:szCs w:val="20"/>
    </w:rPr>
  </w:style>
  <w:style w:type="paragraph" w:customStyle="1" w:styleId="103">
    <w:name w:val="附录三级条标题"/>
    <w:basedOn w:val="98"/>
    <w:next w:val="25"/>
    <w:qFormat/>
    <w:uiPriority w:val="0"/>
    <w:pPr>
      <w:numPr>
        <w:ilvl w:val="4"/>
        <w:numId w:val="10"/>
      </w:numPr>
      <w:outlineLvl w:val="4"/>
    </w:pPr>
  </w:style>
  <w:style w:type="paragraph" w:customStyle="1" w:styleId="104">
    <w:name w:val="附录三级无"/>
    <w:basedOn w:val="103"/>
    <w:qFormat/>
    <w:uiPriority w:val="0"/>
    <w:pPr>
      <w:tabs>
        <w:tab w:val="clear" w:pos="360"/>
      </w:tabs>
      <w:spacing w:before="0" w:beforeLines="0" w:after="0" w:afterLines="0"/>
    </w:pPr>
    <w:rPr>
      <w:rFonts w:ascii="宋体" w:eastAsia="宋体"/>
      <w:szCs w:val="21"/>
    </w:rPr>
  </w:style>
  <w:style w:type="paragraph" w:customStyle="1" w:styleId="105">
    <w:name w:val="附录数字编号列项（二级）"/>
    <w:qFormat/>
    <w:uiPriority w:val="0"/>
    <w:pPr>
      <w:numPr>
        <w:ilvl w:val="1"/>
        <w:numId w:val="12"/>
      </w:numPr>
    </w:pPr>
    <w:rPr>
      <w:rFonts w:ascii="宋体" w:hAnsi="Times New Roman" w:eastAsia="宋体" w:cs="Times New Roman"/>
      <w:sz w:val="21"/>
      <w:lang w:val="en-US" w:eastAsia="zh-CN" w:bidi="ar-SA"/>
    </w:rPr>
  </w:style>
  <w:style w:type="paragraph" w:customStyle="1" w:styleId="106">
    <w:name w:val="附录四级条标题"/>
    <w:basedOn w:val="103"/>
    <w:next w:val="25"/>
    <w:qFormat/>
    <w:uiPriority w:val="0"/>
    <w:pPr>
      <w:numPr>
        <w:ilvl w:val="5"/>
        <w:numId w:val="10"/>
      </w:numPr>
      <w:outlineLvl w:val="5"/>
    </w:pPr>
  </w:style>
  <w:style w:type="paragraph" w:customStyle="1" w:styleId="107">
    <w:name w:val="附录四级无"/>
    <w:basedOn w:val="106"/>
    <w:qFormat/>
    <w:uiPriority w:val="0"/>
    <w:pPr>
      <w:tabs>
        <w:tab w:val="clear" w:pos="360"/>
      </w:tabs>
      <w:spacing w:before="0" w:beforeLines="0" w:after="0" w:afterLines="0"/>
    </w:pPr>
    <w:rPr>
      <w:rFonts w:ascii="宋体" w:eastAsia="宋体"/>
      <w:szCs w:val="21"/>
    </w:rPr>
  </w:style>
  <w:style w:type="paragraph" w:customStyle="1" w:styleId="108">
    <w:name w:val="附录图标号"/>
    <w:basedOn w:val="1"/>
    <w:qFormat/>
    <w:uiPriority w:val="0"/>
    <w:pPr>
      <w:keepNext/>
      <w:pageBreakBefore/>
      <w:widowControl/>
      <w:numPr>
        <w:ilvl w:val="0"/>
        <w:numId w:val="13"/>
      </w:numPr>
      <w:spacing w:line="14" w:lineRule="exact"/>
      <w:ind w:left="0" w:firstLine="363"/>
      <w:jc w:val="center"/>
      <w:outlineLvl w:val="0"/>
    </w:pPr>
    <w:rPr>
      <w:color w:val="FFFFFF"/>
    </w:rPr>
  </w:style>
  <w:style w:type="paragraph" w:customStyle="1" w:styleId="109">
    <w:name w:val="附录图标题"/>
    <w:basedOn w:val="1"/>
    <w:next w:val="25"/>
    <w:qFormat/>
    <w:uiPriority w:val="0"/>
    <w:pPr>
      <w:numPr>
        <w:ilvl w:val="1"/>
        <w:numId w:val="13"/>
      </w:numPr>
      <w:tabs>
        <w:tab w:val="left" w:pos="363"/>
      </w:tabs>
      <w:spacing w:before="50" w:beforeLines="50" w:after="50" w:afterLines="50"/>
      <w:ind w:left="0" w:firstLine="0"/>
      <w:jc w:val="center"/>
    </w:pPr>
    <w:rPr>
      <w:rFonts w:ascii="黑体" w:eastAsia="黑体"/>
      <w:szCs w:val="21"/>
    </w:rPr>
  </w:style>
  <w:style w:type="paragraph" w:customStyle="1" w:styleId="110">
    <w:name w:val="附录五级条标题"/>
    <w:basedOn w:val="106"/>
    <w:next w:val="25"/>
    <w:qFormat/>
    <w:uiPriority w:val="0"/>
    <w:pPr>
      <w:numPr>
        <w:ilvl w:val="6"/>
        <w:numId w:val="10"/>
      </w:numPr>
      <w:outlineLvl w:val="6"/>
    </w:pPr>
  </w:style>
  <w:style w:type="paragraph" w:customStyle="1" w:styleId="111">
    <w:name w:val="附录五级无"/>
    <w:basedOn w:val="110"/>
    <w:qFormat/>
    <w:uiPriority w:val="0"/>
    <w:pPr>
      <w:tabs>
        <w:tab w:val="clear" w:pos="360"/>
      </w:tabs>
      <w:spacing w:before="0" w:beforeLines="0" w:after="0" w:afterLines="0"/>
    </w:pPr>
    <w:rPr>
      <w:rFonts w:ascii="宋体" w:eastAsia="宋体"/>
      <w:szCs w:val="21"/>
    </w:rPr>
  </w:style>
  <w:style w:type="paragraph" w:customStyle="1" w:styleId="112">
    <w:name w:val="附录章标题"/>
    <w:next w:val="25"/>
    <w:qFormat/>
    <w:uiPriority w:val="0"/>
    <w:pPr>
      <w:numPr>
        <w:ilvl w:val="1"/>
        <w:numId w:val="10"/>
      </w:num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13">
    <w:name w:val="附录一级条标题"/>
    <w:basedOn w:val="112"/>
    <w:next w:val="25"/>
    <w:qFormat/>
    <w:uiPriority w:val="0"/>
    <w:pPr>
      <w:numPr>
        <w:ilvl w:val="2"/>
        <w:numId w:val="10"/>
      </w:numPr>
      <w:autoSpaceDN w:val="0"/>
      <w:spacing w:before="50" w:beforeLines="50" w:after="50" w:afterLines="50"/>
      <w:outlineLvl w:val="2"/>
    </w:pPr>
  </w:style>
  <w:style w:type="paragraph" w:customStyle="1" w:styleId="114">
    <w:name w:val="附录一级无"/>
    <w:basedOn w:val="113"/>
    <w:qFormat/>
    <w:uiPriority w:val="0"/>
    <w:pPr>
      <w:tabs>
        <w:tab w:val="clear" w:pos="360"/>
      </w:tabs>
      <w:spacing w:before="0" w:beforeLines="0" w:after="0" w:afterLines="0"/>
    </w:pPr>
    <w:rPr>
      <w:rFonts w:ascii="宋体" w:eastAsia="宋体"/>
      <w:szCs w:val="21"/>
    </w:rPr>
  </w:style>
  <w:style w:type="paragraph" w:customStyle="1" w:styleId="115">
    <w:name w:val="附录字母编号列项（一级）"/>
    <w:qFormat/>
    <w:uiPriority w:val="0"/>
    <w:pPr>
      <w:numPr>
        <w:ilvl w:val="0"/>
        <w:numId w:val="12"/>
      </w:numPr>
    </w:pPr>
    <w:rPr>
      <w:rFonts w:ascii="宋体" w:hAnsi="Times New Roman" w:eastAsia="宋体" w:cs="Times New Roman"/>
      <w:sz w:val="21"/>
      <w:lang w:val="en-US" w:eastAsia="zh-CN" w:bidi="ar-SA"/>
    </w:rPr>
  </w:style>
  <w:style w:type="paragraph" w:customStyle="1" w:styleId="11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17">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18">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19">
    <w:name w:val="其他标准标志"/>
    <w:basedOn w:val="76"/>
    <w:qFormat/>
    <w:uiPriority w:val="0"/>
    <w:pPr>
      <w:framePr w:w="6101" w:vAnchor="page" w:hAnchor="page" w:x="4673" w:y="942"/>
    </w:pPr>
    <w:rPr>
      <w:w w:val="130"/>
    </w:rPr>
  </w:style>
  <w:style w:type="paragraph" w:customStyle="1" w:styleId="120">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21">
    <w:name w:val="其他发布部门"/>
    <w:basedOn w:val="84"/>
    <w:qFormat/>
    <w:uiPriority w:val="0"/>
    <w:pPr>
      <w:framePr w:y="15310"/>
      <w:spacing w:line="0" w:lineRule="atLeast"/>
    </w:pPr>
    <w:rPr>
      <w:rFonts w:ascii="黑体" w:eastAsia="黑体"/>
      <w:b w:val="0"/>
    </w:rPr>
  </w:style>
  <w:style w:type="paragraph" w:customStyle="1" w:styleId="122">
    <w:name w:val="前言、引言标题"/>
    <w:next w:val="25"/>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23">
    <w:name w:val="三级无"/>
    <w:basedOn w:val="61"/>
    <w:qFormat/>
    <w:uiPriority w:val="0"/>
    <w:pPr>
      <w:spacing w:before="0" w:beforeLines="0" w:after="0" w:afterLines="0"/>
    </w:pPr>
    <w:rPr>
      <w:rFonts w:ascii="宋体" w:eastAsia="宋体"/>
    </w:rPr>
  </w:style>
  <w:style w:type="paragraph" w:customStyle="1" w:styleId="124">
    <w:name w:val="实施日期"/>
    <w:basedOn w:val="85"/>
    <w:qFormat/>
    <w:uiPriority w:val="0"/>
    <w:pPr>
      <w:framePr w:vAnchor="page" w:hAnchor="page"/>
      <w:jc w:val="right"/>
    </w:pPr>
  </w:style>
  <w:style w:type="paragraph" w:customStyle="1" w:styleId="125">
    <w:name w:val="示例后文字"/>
    <w:basedOn w:val="25"/>
    <w:next w:val="25"/>
    <w:qFormat/>
    <w:uiPriority w:val="0"/>
    <w:pPr>
      <w:ind w:firstLine="360"/>
    </w:pPr>
    <w:rPr>
      <w:sz w:val="18"/>
    </w:rPr>
  </w:style>
  <w:style w:type="paragraph" w:customStyle="1" w:styleId="126">
    <w:name w:val="首示例"/>
    <w:next w:val="25"/>
    <w:link w:val="127"/>
    <w:qFormat/>
    <w:uiPriority w:val="0"/>
    <w:pPr>
      <w:numPr>
        <w:ilvl w:val="0"/>
        <w:numId w:val="14"/>
      </w:numPr>
      <w:tabs>
        <w:tab w:val="left" w:pos="360"/>
      </w:tabs>
      <w:ind w:firstLine="0"/>
    </w:pPr>
    <w:rPr>
      <w:rFonts w:ascii="宋体" w:hAnsi="宋体" w:eastAsia="宋体" w:cs="Times New Roman"/>
      <w:kern w:val="2"/>
      <w:sz w:val="18"/>
      <w:szCs w:val="18"/>
      <w:lang w:val="en-US" w:eastAsia="zh-CN" w:bidi="ar-SA"/>
    </w:rPr>
  </w:style>
  <w:style w:type="character" w:customStyle="1" w:styleId="127">
    <w:name w:val="首示例 Char"/>
    <w:link w:val="126"/>
    <w:qFormat/>
    <w:uiPriority w:val="0"/>
    <w:rPr>
      <w:rFonts w:ascii="宋体" w:hAnsi="宋体"/>
      <w:kern w:val="2"/>
      <w:sz w:val="18"/>
      <w:szCs w:val="18"/>
    </w:rPr>
  </w:style>
  <w:style w:type="paragraph" w:customStyle="1" w:styleId="128">
    <w:name w:val="四级无"/>
    <w:basedOn w:val="65"/>
    <w:qFormat/>
    <w:uiPriority w:val="0"/>
    <w:pPr>
      <w:spacing w:before="0" w:beforeLines="0" w:after="0" w:afterLines="0"/>
    </w:pPr>
    <w:rPr>
      <w:rFonts w:ascii="宋体" w:eastAsia="宋体"/>
    </w:rPr>
  </w:style>
  <w:style w:type="paragraph" w:customStyle="1" w:styleId="129">
    <w:name w:val="条文脚注"/>
    <w:basedOn w:val="26"/>
    <w:qFormat/>
    <w:uiPriority w:val="0"/>
    <w:pPr>
      <w:numPr>
        <w:ilvl w:val="0"/>
        <w:numId w:val="0"/>
      </w:numPr>
      <w:tabs>
        <w:tab w:val="clear" w:pos="0"/>
      </w:tabs>
      <w:jc w:val="both"/>
    </w:pPr>
    <w:rPr>
      <w:rFonts w:ascii="宋体"/>
    </w:rPr>
  </w:style>
  <w:style w:type="paragraph" w:customStyle="1" w:styleId="130">
    <w:name w:val="图标脚注说明"/>
    <w:basedOn w:val="25"/>
    <w:qFormat/>
    <w:uiPriority w:val="0"/>
    <w:pPr>
      <w:ind w:left="840" w:hanging="420" w:firstLineChars="0"/>
    </w:pPr>
    <w:rPr>
      <w:sz w:val="18"/>
      <w:szCs w:val="18"/>
    </w:rPr>
  </w:style>
  <w:style w:type="paragraph" w:customStyle="1" w:styleId="131">
    <w:name w:val="图表脚注说明"/>
    <w:basedOn w:val="1"/>
    <w:qFormat/>
    <w:uiPriority w:val="0"/>
    <w:pPr>
      <w:numPr>
        <w:ilvl w:val="0"/>
        <w:numId w:val="15"/>
      </w:numPr>
    </w:pPr>
    <w:rPr>
      <w:rFonts w:ascii="宋体"/>
      <w:sz w:val="18"/>
      <w:szCs w:val="18"/>
    </w:rPr>
  </w:style>
  <w:style w:type="paragraph" w:customStyle="1" w:styleId="132">
    <w:name w:val="图的脚注"/>
    <w:next w:val="25"/>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33">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34">
    <w:name w:val="五级无"/>
    <w:basedOn w:val="66"/>
    <w:qFormat/>
    <w:uiPriority w:val="0"/>
    <w:pPr>
      <w:spacing w:before="0" w:beforeLines="0" w:after="0" w:afterLines="0"/>
    </w:pPr>
    <w:rPr>
      <w:rFonts w:ascii="宋体" w:eastAsia="宋体"/>
    </w:rPr>
  </w:style>
  <w:style w:type="paragraph" w:customStyle="1" w:styleId="135">
    <w:name w:val="一级无"/>
    <w:basedOn w:val="50"/>
    <w:qFormat/>
    <w:uiPriority w:val="0"/>
    <w:pPr>
      <w:spacing w:before="0" w:beforeLines="0" w:after="0" w:afterLines="0"/>
    </w:pPr>
    <w:rPr>
      <w:rFonts w:ascii="宋体" w:eastAsia="宋体"/>
    </w:rPr>
  </w:style>
  <w:style w:type="paragraph" w:customStyle="1" w:styleId="136">
    <w:name w:val="正文表标题"/>
    <w:next w:val="25"/>
    <w:qFormat/>
    <w:uiPriority w:val="0"/>
    <w:pPr>
      <w:numPr>
        <w:ilvl w:val="0"/>
        <w:numId w:val="16"/>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37">
    <w:name w:val="正文公式编号制表符"/>
    <w:basedOn w:val="25"/>
    <w:next w:val="25"/>
    <w:qFormat/>
    <w:uiPriority w:val="0"/>
    <w:pPr>
      <w:ind w:firstLine="0" w:firstLineChars="0"/>
    </w:pPr>
  </w:style>
  <w:style w:type="paragraph" w:customStyle="1" w:styleId="138">
    <w:name w:val="正文图标题"/>
    <w:next w:val="25"/>
    <w:qFormat/>
    <w:uiPriority w:val="0"/>
    <w:pPr>
      <w:numPr>
        <w:ilvl w:val="0"/>
        <w:numId w:val="17"/>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39">
    <w:name w:val="终结线"/>
    <w:basedOn w:val="1"/>
    <w:qFormat/>
    <w:uiPriority w:val="0"/>
    <w:pPr>
      <w:framePr w:hSpace="181" w:vSpace="181" w:wrap="around" w:vAnchor="text" w:hAnchor="margin" w:xAlign="center" w:y="285"/>
    </w:pPr>
  </w:style>
  <w:style w:type="paragraph" w:customStyle="1" w:styleId="140">
    <w:name w:val="其他发布日期"/>
    <w:basedOn w:val="85"/>
    <w:qFormat/>
    <w:uiPriority w:val="0"/>
    <w:pPr>
      <w:framePr w:vAnchor="page" w:hAnchor="page" w:x="1419"/>
    </w:pPr>
  </w:style>
  <w:style w:type="paragraph" w:customStyle="1" w:styleId="141">
    <w:name w:val="其他实施日期"/>
    <w:basedOn w:val="124"/>
    <w:qFormat/>
    <w:uiPriority w:val="0"/>
  </w:style>
  <w:style w:type="paragraph" w:customStyle="1" w:styleId="142">
    <w:name w:val="封面标准名称2"/>
    <w:basedOn w:val="88"/>
    <w:qFormat/>
    <w:uiPriority w:val="0"/>
    <w:pPr>
      <w:framePr w:y="4469"/>
      <w:spacing w:before="630" w:beforeLines="630"/>
    </w:pPr>
  </w:style>
  <w:style w:type="paragraph" w:customStyle="1" w:styleId="143">
    <w:name w:val="封面标准英文名称2"/>
    <w:basedOn w:val="89"/>
    <w:qFormat/>
    <w:uiPriority w:val="0"/>
    <w:pPr>
      <w:framePr w:y="4469"/>
    </w:pPr>
  </w:style>
  <w:style w:type="paragraph" w:customStyle="1" w:styleId="144">
    <w:name w:val="封面一致性程度标识2"/>
    <w:basedOn w:val="90"/>
    <w:qFormat/>
    <w:uiPriority w:val="0"/>
    <w:pPr>
      <w:framePr w:y="4469"/>
    </w:pPr>
  </w:style>
  <w:style w:type="paragraph" w:customStyle="1" w:styleId="145">
    <w:name w:val="封面标准文稿类别2"/>
    <w:basedOn w:val="91"/>
    <w:qFormat/>
    <w:uiPriority w:val="0"/>
    <w:pPr>
      <w:framePr w:y="4469"/>
    </w:pPr>
  </w:style>
  <w:style w:type="paragraph" w:customStyle="1" w:styleId="146">
    <w:name w:val="封面标准文稿编辑信息2"/>
    <w:basedOn w:val="92"/>
    <w:qFormat/>
    <w:uiPriority w:val="0"/>
    <w:pPr>
      <w:framePr w:y="4469"/>
    </w:pPr>
  </w:style>
  <w:style w:type="character" w:customStyle="1" w:styleId="147">
    <w:name w:val="纯文本 字符1"/>
    <w:qFormat/>
    <w:uiPriority w:val="0"/>
    <w:rPr>
      <w:rFonts w:ascii="宋体" w:hAnsi="Courier New" w:cs="Courier New"/>
      <w:kern w:val="2"/>
      <w:sz w:val="21"/>
      <w:szCs w:val="21"/>
    </w:rPr>
  </w:style>
  <w:style w:type="paragraph" w:customStyle="1" w:styleId="148">
    <w:name w:val="列出段落1"/>
    <w:basedOn w:val="1"/>
    <w:qFormat/>
    <w:uiPriority w:val="0"/>
    <w:pPr>
      <w:ind w:firstLine="420" w:firstLineChars="200"/>
    </w:pPr>
    <w:rPr>
      <w:szCs w:val="21"/>
    </w:rPr>
  </w:style>
  <w:style w:type="paragraph" w:customStyle="1" w:styleId="149">
    <w:name w:val="标准文件_参考文献标题"/>
    <w:basedOn w:val="1"/>
    <w:next w:val="1"/>
    <w:qFormat/>
    <w:uiPriority w:val="0"/>
    <w:pPr>
      <w:widowControl/>
      <w:shd w:val="clear" w:color="FFFFFF" w:fill="FFFFFF"/>
      <w:spacing w:before="560" w:afterLines="50"/>
      <w:jc w:val="center"/>
      <w:outlineLvl w:val="0"/>
    </w:pPr>
    <w:rPr>
      <w:rFonts w:ascii="黑体" w:hAnsi="Calibri" w:eastAsia="黑体"/>
      <w:kern w:val="0"/>
      <w:szCs w:val="21"/>
    </w:rPr>
  </w:style>
  <w:style w:type="paragraph" w:customStyle="1" w:styleId="150">
    <w:name w:val="WPSOffice手动目录 1"/>
    <w:uiPriority w:val="0"/>
    <w:pPr>
      <w:ind w:leftChars="0"/>
    </w:pPr>
    <w:rPr>
      <w:rFonts w:ascii="Times New Roman" w:hAnsi="Times New Roman" w:eastAsia="宋体" w:cs="Times New Roman"/>
      <w:sz w:val="20"/>
      <w:szCs w:val="20"/>
    </w:rPr>
  </w:style>
  <w:style w:type="paragraph" w:customStyle="1" w:styleId="151">
    <w:name w:val="WPSOffice手动目录 2"/>
    <w:uiPriority w:val="0"/>
    <w:pPr>
      <w:ind w:leftChars="200"/>
    </w:pPr>
    <w:rPr>
      <w:rFonts w:ascii="Times New Roman" w:hAnsi="Times New Roman" w:eastAsia="宋体" w:cs="Times New Roman"/>
      <w:sz w:val="20"/>
      <w:szCs w:val="2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zle</Company>
  <Pages>9</Pages>
  <Words>4085</Words>
  <Characters>4898</Characters>
  <Lines>52</Lines>
  <Paragraphs>14</Paragraphs>
  <TotalTime>9</TotalTime>
  <ScaleCrop>false</ScaleCrop>
  <LinksUpToDate>false</LinksUpToDate>
  <CharactersWithSpaces>5286</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2021-11-22T08:31:00Z</dcterms:created>
  <dc:creator>CNIS</dc:creator>
  <cp:lastModifiedBy>王康</cp:lastModifiedBy>
  <cp:lastPrinted>2023-12-06T07:20:00Z</cp:lastPrinted>
  <dcterms:modified xsi:type="dcterms:W3CDTF">2024-10-23T05:48:29Z</dcterms:modified>
  <dc:title>标准名称</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EBC696B98CA044E89AF8ED04A31FB521_13</vt:lpwstr>
  </property>
</Properties>
</file>